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4CC2F" w14:textId="47A95763" w:rsidR="00B805B4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Планировочные и объемно-пространственные решения приняты на основе тезисов (манифеста</w:t>
      </w:r>
      <w:r w:rsidR="002556F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).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  <w:r w:rsidR="002556F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Это главный документ, в котором отражены основные принципы формирования застройки Знаменского предместья, исходя из тех выводов, которые были сделаны в результате предварительного анализа территории.</w:t>
      </w:r>
    </w:p>
    <w:p w14:paraId="4A880FA1" w14:textId="77777777" w:rsidR="00B805B4" w:rsidRPr="005C00F2" w:rsidRDefault="00B805B4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</w:p>
    <w:p w14:paraId="7BFC3ADB" w14:textId="468A4961" w:rsidR="00A714B2" w:rsidRPr="005C00F2" w:rsidRDefault="00B805B4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.По материалам генерального плана 2018 года, </w:t>
      </w:r>
      <w:r w:rsidR="002556F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на основе концепции пространственного развития города 16 года,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была разработана схема городских центров и мы видим, что наша территория входит в состав одного из главных центров.</w:t>
      </w:r>
    </w:p>
    <w:p w14:paraId="6DC01E72" w14:textId="77777777" w:rsidR="00AE675C" w:rsidRPr="005C00F2" w:rsidRDefault="00AE675C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</w:p>
    <w:p w14:paraId="166AD694" w14:textId="422DF4F7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Рассматриваемая территория «Знаменское предместье» общей площадью 626 </w:t>
      </w:r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га  расположена</w:t>
      </w:r>
      <w:proofErr w:type="gram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на правом и левом берегах р.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города Иркутска. Данный район, как градостроительное образование, является связующим звеном между центральной частью и всем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Маратовским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предместьем. </w:t>
      </w:r>
    </w:p>
    <w:p w14:paraId="4FBC4C9D" w14:textId="77777777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 </w:t>
      </w:r>
    </w:p>
    <w:p w14:paraId="2F70DC5E" w14:textId="781B82B1" w:rsidR="00A714B2" w:rsidRPr="005C00F2" w:rsidRDefault="006D1856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Территория, в отношении которой подготавливается проект – часть 6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ти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планировочных </w:t>
      </w:r>
      <w:r w:rsidR="006C4154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элементов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в Правобережном и Октябрьском округах города Иркутска.</w:t>
      </w:r>
    </w:p>
    <w:p w14:paraId="62F43994" w14:textId="77777777" w:rsidR="006D1856" w:rsidRPr="005C00F2" w:rsidRDefault="006D1856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</w:p>
    <w:p w14:paraId="2C957163" w14:textId="5271ADC5" w:rsidR="00B805B4" w:rsidRPr="005C00F2" w:rsidRDefault="00B805B4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На схеме существующего использования территорий видим, что </w:t>
      </w:r>
      <w:proofErr w:type="gram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основное использование земель это</w:t>
      </w:r>
      <w:proofErr w:type="gramEnd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 производственные территории, территории инженерной инфраструктур, жилая застройка преимущественно индивидуальная и малоэтажная.</w:t>
      </w:r>
    </w:p>
    <w:p w14:paraId="143ADA7F" w14:textId="77777777" w:rsidR="00ED6D3A" w:rsidRPr="005C00F2" w:rsidRDefault="00ED6D3A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</w:p>
    <w:p w14:paraId="29CBE718" w14:textId="6E2446F0" w:rsidR="00A714B2" w:rsidRPr="005C00F2" w:rsidRDefault="007C20FD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Существующий жилищный фонд в границах планировочных элементов составляет около 1,43 </w:t>
      </w:r>
      <w:proofErr w:type="spell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млн.</w:t>
      </w:r>
      <w:proofErr w:type="gram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кв.м</w:t>
      </w:r>
      <w:proofErr w:type="spellEnd"/>
      <w:proofErr w:type="gramEnd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 общей площади. На момент разработки концепции площадь аварийного жилищного фонда в границах концепции составляет 28,6 </w:t>
      </w:r>
      <w:proofErr w:type="spell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тыс.</w:t>
      </w:r>
      <w:proofErr w:type="gram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кв.м</w:t>
      </w:r>
      <w:proofErr w:type="spellEnd"/>
      <w:proofErr w:type="gramEnd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 жилой площади.</w:t>
      </w:r>
    </w:p>
    <w:p w14:paraId="5B4859E7" w14:textId="77777777" w:rsidR="006D1856" w:rsidRPr="005C00F2" w:rsidRDefault="006D1856" w:rsidP="00A714B2">
      <w:pPr>
        <w:spacing w:after="0" w:line="240" w:lineRule="auto"/>
        <w:rPr>
          <w:rFonts w:ascii="Century Gothic" w:eastAsia="Times New Roman" w:hAnsi="Century Gothic" w:cs="Times New Roman"/>
          <w:bCs/>
          <w:i/>
          <w:sz w:val="20"/>
          <w:szCs w:val="20"/>
          <w:lang w:eastAsia="ru-RU"/>
        </w:rPr>
      </w:pPr>
    </w:p>
    <w:p w14:paraId="56036A36" w14:textId="00C2665E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Знаменское предместье — одно из старинных предместий г. Иркутска, с 1920 — предместье Марата. В 1693 у устья </w:t>
      </w:r>
      <w:proofErr w:type="spellStart"/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 возводился</w:t>
      </w:r>
      <w:proofErr w:type="gram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девичий монастырь: кельи, службы и церковь во имя Знамения Божьей Матери. Этот знаменитый монастырь и дал название предместью.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В 1717 вдоль оживленного Якутского тракта стали селиться люди – появилась ул. Якутская</w:t>
      </w:r>
      <w:r w:rsidR="006D1856" w:rsidRPr="005C00F2">
        <w:rPr>
          <w:sz w:val="20"/>
          <w:szCs w:val="20"/>
        </w:rPr>
        <w:t xml:space="preserve"> (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теперь Рабочего Штаба) </w:t>
      </w:r>
      <w:proofErr w:type="gramStart"/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и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ул.</w:t>
      </w:r>
      <w:proofErr w:type="gram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Знаменская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(Баррикад)</w:t>
      </w:r>
      <w:r w:rsidR="00CF739D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</w:p>
    <w:p w14:paraId="39D558BE" w14:textId="01ADE7A9" w:rsidR="006D1856" w:rsidRPr="005C00F2" w:rsidRDefault="007C20FD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В границах рассматриваемой территории установлены границы охранных зон, зон регулирования застройки, хозяйственной деятельности и охраняемого ландшафта, утвержденные Постановлением администрации Иркутской области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</w:p>
    <w:p w14:paraId="079CF1B9" w14:textId="77777777" w:rsidR="006D1856" w:rsidRPr="005C00F2" w:rsidRDefault="006D1856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</w:p>
    <w:p w14:paraId="3721D776" w14:textId="3CDDDD52" w:rsidR="00AE675C" w:rsidRPr="005C00F2" w:rsidRDefault="00ED6D3A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Проектом предлагается воссоздание или реконструкция объектов, знаковых для города. </w:t>
      </w:r>
      <w:r w:rsidR="00CF739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Вынос режимных объектов, воссоздание исторической функции женской гимназии, и изменение функции тюремного замка.</w:t>
      </w:r>
    </w:p>
    <w:p w14:paraId="09AF880D" w14:textId="5E185D23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b/>
          <w:i/>
          <w:sz w:val="20"/>
          <w:szCs w:val="20"/>
          <w:lang w:eastAsia="ru-RU"/>
        </w:rPr>
      </w:pPr>
    </w:p>
    <w:p w14:paraId="2E030FD9" w14:textId="26805CF9" w:rsidR="00A714B2" w:rsidRPr="005C00F2" w:rsidRDefault="00A714B2" w:rsidP="006D1856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Большое внимание в концепции уделено созданию полноценного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природно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-экологического каркаса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  <w:r w:rsidR="006D185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Зеленый каркас города предлагается формировать с помощью двух озелененных пешеходных связей (колец), соединяющих на своем протяжении ключевые общественные и озелененные пространства исторического центра и Октябрьского района, а также предместий Знаменское и Радищево.</w:t>
      </w:r>
    </w:p>
    <w:p w14:paraId="143B5967" w14:textId="77777777" w:rsidR="00ED6D3A" w:rsidRPr="005C00F2" w:rsidRDefault="00ED6D3A" w:rsidP="006D1856">
      <w:pPr>
        <w:spacing w:after="0" w:line="240" w:lineRule="auto"/>
        <w:rPr>
          <w:rFonts w:ascii="Century Gothic" w:eastAsia="Times New Roman" w:hAnsi="Century Gothic" w:cs="Times New Roman"/>
          <w:b/>
          <w:bCs/>
          <w:sz w:val="20"/>
          <w:szCs w:val="20"/>
          <w:lang w:eastAsia="ru-RU"/>
        </w:rPr>
      </w:pPr>
    </w:p>
    <w:p w14:paraId="4683C95B" w14:textId="0C370D5A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Создание непрерывной набережной рек Ангара 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– как приоритет в развитии района и города в целом. Предполагается обустройство набережной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как </w:t>
      </w:r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районной  и</w:t>
      </w:r>
      <w:proofErr w:type="gram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общегородской рекреационной зоны, с соответствующими планировочными решениями и функциональным наполнением.</w:t>
      </w:r>
    </w:p>
    <w:p w14:paraId="3E1FE293" w14:textId="77777777" w:rsidR="00ED6D3A" w:rsidRPr="005C00F2" w:rsidRDefault="00ED6D3A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</w:p>
    <w:p w14:paraId="48D07383" w14:textId="3707F1A4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В профиле улиц, связывающих набережную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с жилой и общественной застройкой района, учитывается благоустройство в виде озеленения, рядовой посадки деревьев вдоль пешеходной зоны, что формирует так называемые «зеленые» улицы. А территории, прилегающие к набережной, в своей структуре обеспечивают максимальную проницаемость. </w:t>
      </w:r>
    </w:p>
    <w:p w14:paraId="7CB08495" w14:textId="46CDE00B" w:rsidR="00EF37D6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Важным является обеспечение всех жителей района развитой системой озелененных рекреационных пространств (районные, местные парки, скверы) с доступностью для районных парков – не более 15 мин., а для местных – не более 5 мин. </w:t>
      </w:r>
    </w:p>
    <w:p w14:paraId="0C38878B" w14:textId="6318DA10" w:rsidR="00EF37D6" w:rsidRPr="005C00F2" w:rsidRDefault="00EF37D6" w:rsidP="00EF37D6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Формирование на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Ушаковке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протяженного паркового пространства, </w:t>
      </w:r>
    </w:p>
    <w:p w14:paraId="0F109BBC" w14:textId="6FB48F00" w:rsidR="00EF37D6" w:rsidRPr="005C00F2" w:rsidRDefault="00EF37D6" w:rsidP="00EF37D6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которое станет частью новый зоны роста города, позволит обеспечить зелеными рекреационными зонами около трети населения города и, в то же время, снизить нагрузку на главные рекреационные пространства города.</w:t>
      </w:r>
    </w:p>
    <w:p w14:paraId="5779F9A0" w14:textId="4B72905F" w:rsidR="00EF37D6" w:rsidRPr="005C00F2" w:rsidRDefault="00EF37D6" w:rsidP="00EF37D6">
      <w:pPr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Концепцией предусматривается возрождение рек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Сарафановка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и Пшеничная при помощи мероприятий по расчистке русел и частичной их корректировкой. </w:t>
      </w:r>
    </w:p>
    <w:p w14:paraId="5015D188" w14:textId="05197052" w:rsidR="00EF37D6" w:rsidRPr="005C00F2" w:rsidRDefault="00EF37D6" w:rsidP="00EF37D6">
      <w:pPr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На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Щаповской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горе, в границах концепции и за её пределами, предлагается формирование новой рекреационной зоны городского значения с уникальными видовыми характеристиками. Благоустройство этой зоны предполагается оформить в виде бульвара, связывающего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Маратовское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lastRenderedPageBreak/>
        <w:t xml:space="preserve">кольцо 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Плишкинский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лес со смотровыми площадками, зонами отдыха и местами исторического, мемориального значения.</w:t>
      </w:r>
    </w:p>
    <w:p w14:paraId="3DF33E7F" w14:textId="3BF6AB2B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highlight w:val="lightGray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Проект предполагает проведение комплексного освоения берегов и благоустройства, избегая хаотичного и неконтролируемого освоения берегов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. В качестве </w:t>
      </w:r>
      <w:r w:rsidR="00CF739D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одного из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инструмент</w:t>
      </w:r>
      <w:r w:rsidR="00CF739D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ов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градостроительного регулирования на территории предполагается использование специальной системы зонирования поймы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, состоящей из 3-х поясов.</w:t>
      </w:r>
    </w:p>
    <w:p w14:paraId="01504E04" w14:textId="77777777" w:rsidR="00EF37D6" w:rsidRPr="005C00F2" w:rsidRDefault="00EF37D6" w:rsidP="00A714B2">
      <w:pPr>
        <w:spacing w:after="0" w:line="240" w:lineRule="auto"/>
        <w:rPr>
          <w:rFonts w:ascii="Century Gothic" w:eastAsia="Times New Roman" w:hAnsi="Century Gothic" w:cs="Times New Roman"/>
          <w:b/>
          <w:i/>
          <w:sz w:val="20"/>
          <w:szCs w:val="20"/>
          <w:lang w:eastAsia="ru-RU"/>
        </w:rPr>
      </w:pPr>
    </w:p>
    <w:p w14:paraId="18370096" w14:textId="01115F00" w:rsidR="0010571C" w:rsidRPr="005C00F2" w:rsidRDefault="005C00F2" w:rsidP="0010571C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П</w:t>
      </w:r>
      <w:r w:rsidR="0010571C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редложения по размещению объектов образования полностью удовлетворяют дополнительные потребности с учетом роста численности населения.</w:t>
      </w:r>
    </w:p>
    <w:p w14:paraId="111E31A5" w14:textId="77777777" w:rsidR="0010571C" w:rsidRPr="005C00F2" w:rsidRDefault="0010571C" w:rsidP="0010571C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Помимо детских дошкольных и общеобразовательных учреждений были определены места для размещения объектов дополнительного образования, </w:t>
      </w:r>
      <w:proofErr w:type="spellStart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обьектов</w:t>
      </w:r>
      <w:proofErr w:type="spellEnd"/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 культурно-просветительского и культурно-развлекательного назначения, спортивных объектов, объектов медицинского назначения</w:t>
      </w:r>
    </w:p>
    <w:p w14:paraId="2EFFF568" w14:textId="77777777" w:rsidR="00A714B2" w:rsidRPr="005C00F2" w:rsidRDefault="00A714B2" w:rsidP="00A714B2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sz w:val="20"/>
          <w:szCs w:val="20"/>
          <w:lang w:eastAsia="ru-RU"/>
        </w:rPr>
      </w:pPr>
    </w:p>
    <w:p w14:paraId="04F77D75" w14:textId="12763654" w:rsidR="00AE675C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Создание транспортной инфраструктуры основывается на решениях, заложенных в действующем генеральном плане </w:t>
      </w:r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города</w:t>
      </w:r>
      <w:proofErr w:type="gram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и рассматриваются дополнительные возможности развития транспорта в планировочном районе. Основную транспортную ось по ул. Баррикад 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ул.Напольная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предлагается продлить до </w:t>
      </w:r>
      <w:r w:rsidR="00CF739D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Восточного обхода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с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закольцовкой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движения. </w:t>
      </w:r>
    </w:p>
    <w:p w14:paraId="2C766FCC" w14:textId="0CAB565C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Улица Баррикад формируется как центральная улица района, с повышением качества пешеходной инфраструктуры, регулированием скоростного режима, развитием общественного транспорта и исключением грузового транспорта. Пешеходные переходы через улицу предполагается выполнить в разных вариантах: наземные через пешеходный переход, подземные и надземные в виде мостовых переходов. Увеличение количества пешеходных переходов в разных уровнях повысит безопасную пешеходную доступность к набережной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Ушаковки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без снижения трафика улицы Баррикад. Улица Напольная приобретает статус общегородской улицы с движением муниципального общественного и личного транспорта.</w:t>
      </w:r>
      <w:r w:rsidR="00AE675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Проектом предусматриваются предложения по </w:t>
      </w:r>
      <w:proofErr w:type="spellStart"/>
      <w:r w:rsidR="00AE675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устройствоу</w:t>
      </w:r>
      <w:proofErr w:type="spellEnd"/>
      <w:r w:rsidR="00AE675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развязки в условиях сложного рельефа на </w:t>
      </w:r>
      <w:proofErr w:type="spellStart"/>
      <w:r w:rsidR="00AE675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Щаповской</w:t>
      </w:r>
      <w:proofErr w:type="spellEnd"/>
      <w:r w:rsidR="00AE675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горе, а также по формированию транспортной развязки по ул. Фридриха Энгельса.</w:t>
      </w:r>
    </w:p>
    <w:p w14:paraId="6F1831D4" w14:textId="76B7FFA4" w:rsidR="007C20FD" w:rsidRPr="005C00F2" w:rsidRDefault="007C20FD" w:rsidP="007C20FD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Генеральным планом предусматривается реконструкция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Маратовской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транспортной развязки в разных уровнях на расчетный срок. Концепцией предлагается реализация в 1 уровне.</w:t>
      </w:r>
    </w:p>
    <w:p w14:paraId="3D951595" w14:textId="77777777" w:rsidR="003C6766" w:rsidRPr="005C00F2" w:rsidRDefault="003C6766" w:rsidP="007C20FD">
      <w:pPr>
        <w:spacing w:after="0" w:line="240" w:lineRule="auto"/>
        <w:rPr>
          <w:rFonts w:ascii="Century Gothic" w:eastAsia="Times New Roman" w:hAnsi="Century Gothic" w:cs="Times New Roman"/>
          <w:b/>
          <w:i/>
          <w:sz w:val="20"/>
          <w:szCs w:val="20"/>
          <w:lang w:eastAsia="ru-RU"/>
        </w:rPr>
      </w:pPr>
    </w:p>
    <w:p w14:paraId="60044007" w14:textId="0BD72F4B" w:rsidR="003C6766" w:rsidRPr="005C00F2" w:rsidRDefault="003C6766" w:rsidP="007C20FD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В целом, концепцией предлагается сохранение основных векторов развития инженерных систем в соответствии с генеральным планом, отраслевыми схемами, программой комплексного развития систем коммунальной инфраструктуры.</w:t>
      </w:r>
    </w:p>
    <w:p w14:paraId="41D77890" w14:textId="77777777" w:rsidR="003C6766" w:rsidRPr="005C00F2" w:rsidRDefault="003C6766" w:rsidP="007C20FD">
      <w:pPr>
        <w:spacing w:after="0" w:line="240" w:lineRule="auto"/>
        <w:rPr>
          <w:rFonts w:ascii="Century Gothic" w:eastAsia="Times New Roman" w:hAnsi="Century Gothic" w:cs="Times New Roman"/>
          <w:bCs/>
          <w:i/>
          <w:sz w:val="20"/>
          <w:szCs w:val="20"/>
          <w:lang w:eastAsia="ru-RU"/>
        </w:rPr>
      </w:pPr>
    </w:p>
    <w:p w14:paraId="5A4C7D21" w14:textId="2AE0DD78" w:rsidR="007C20FD" w:rsidRPr="005C00F2" w:rsidRDefault="007C20FD" w:rsidP="007C20FD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Теплоснабжение территории обеспечивают небольшие отопительные котельные, работающие преимущественно на твёрдом топливе, а также индивидуальные источники тепла.</w:t>
      </w:r>
    </w:p>
    <w:p w14:paraId="053C0DBA" w14:textId="59900709" w:rsidR="007C20FD" w:rsidRPr="005C00F2" w:rsidRDefault="007C20FD" w:rsidP="007C20FD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В соответствии с генеральным планом и схемой теплоснабжения, концепцией предлагается обеспечить централизованное теплоснабжение строительством тепломагистрали по ул. Баррикад с закрытием существующих котельных и переключением потребителей на Н-И ТЭЦ.</w:t>
      </w:r>
    </w:p>
    <w:p w14:paraId="056AC7B4" w14:textId="77777777" w:rsidR="003C6766" w:rsidRPr="005C00F2" w:rsidRDefault="003C6766" w:rsidP="007C20FD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</w:p>
    <w:p w14:paraId="734158A7" w14:textId="6856BF80" w:rsidR="007C20FD" w:rsidRPr="005C00F2" w:rsidRDefault="003C6766" w:rsidP="007C20FD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Также в </w:t>
      </w:r>
      <w:r w:rsidR="007C20F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соответствии с генеральным планом и актуализированной схемой ливневой канализации, концепцией предлагается строительство системы закрытой ливневой канализации со строительством сборных коллекторов вдоль ул. Баррикад и реки </w:t>
      </w:r>
      <w:proofErr w:type="spellStart"/>
      <w:r w:rsidR="007C20F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Ушаковка</w:t>
      </w:r>
      <w:proofErr w:type="spellEnd"/>
      <w:r w:rsidR="007C20F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 xml:space="preserve">, сбор стоков предлагается осуществлять в нижних точках территории с установкой закрытых подземных очистных сооружений и выпуском в р. </w:t>
      </w:r>
      <w:proofErr w:type="spellStart"/>
      <w:r w:rsidR="007C20F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Ушаковка</w:t>
      </w:r>
      <w:proofErr w:type="spellEnd"/>
      <w:r w:rsidR="007C20FD"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.</w:t>
      </w:r>
    </w:p>
    <w:p w14:paraId="25D59D95" w14:textId="33BBC6C4" w:rsidR="007C20FD" w:rsidRPr="005C00F2" w:rsidRDefault="007C20FD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</w:p>
    <w:p w14:paraId="45C5185B" w14:textId="77C4536E" w:rsidR="00CF739D" w:rsidRPr="005C00F2" w:rsidRDefault="00CF739D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  <w:t>Вынос высоковольтных опор предлагается использование в кабельном подземном исполнении.</w:t>
      </w:r>
    </w:p>
    <w:p w14:paraId="41C19899" w14:textId="77777777" w:rsidR="00CF739D" w:rsidRPr="005C00F2" w:rsidRDefault="00CF739D" w:rsidP="00A714B2">
      <w:pPr>
        <w:spacing w:after="0" w:line="240" w:lineRule="auto"/>
        <w:rPr>
          <w:rFonts w:ascii="Century Gothic" w:eastAsia="Times New Roman" w:hAnsi="Century Gothic" w:cs="Times New Roman"/>
          <w:bCs/>
          <w:iCs/>
          <w:sz w:val="20"/>
          <w:szCs w:val="20"/>
          <w:lang w:eastAsia="ru-RU"/>
        </w:rPr>
      </w:pPr>
    </w:p>
    <w:p w14:paraId="7306F734" w14:textId="5C0EF840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bCs/>
          <w:i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В рамках 2 этапа были сформированы границы территорий (зон) приоритетного развития: </w:t>
      </w:r>
    </w:p>
    <w:p w14:paraId="6D4683B1" w14:textId="77777777" w:rsidR="00A714B2" w:rsidRPr="005C00F2" w:rsidRDefault="00A714B2" w:rsidP="00A714B2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Зона развития нового городского центра;</w:t>
      </w:r>
    </w:p>
    <w:p w14:paraId="45371C9B" w14:textId="47CF269F" w:rsidR="00A714B2" w:rsidRPr="005C00F2" w:rsidRDefault="00A714B2" w:rsidP="00A714B2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Зона реновации </w:t>
      </w:r>
      <w:r w:rsidR="00975C81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существующей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застройки;</w:t>
      </w:r>
    </w:p>
    <w:p w14:paraId="7FFCD3E6" w14:textId="77777777" w:rsidR="00AE675C" w:rsidRPr="005C00F2" w:rsidRDefault="00A714B2" w:rsidP="00A714B2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Зона комплексного развития с формированием новых городских кварталов.</w:t>
      </w:r>
    </w:p>
    <w:p w14:paraId="3B7D67B3" w14:textId="7CABEFCB" w:rsidR="0010571C" w:rsidRPr="005C00F2" w:rsidRDefault="00AE675C" w:rsidP="0010571C">
      <w:pPr>
        <w:numPr>
          <w:ilvl w:val="0"/>
          <w:numId w:val="1"/>
        </w:num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Рекреационная зона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="0010571C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 Основной элемент природного каркаса, объединяющий территорию.</w:t>
      </w:r>
    </w:p>
    <w:p w14:paraId="6B1B3A27" w14:textId="593DF556" w:rsidR="0010571C" w:rsidRPr="005C00F2" w:rsidRDefault="0010571C" w:rsidP="0010571C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В рамках 3 этапа были сформированы регламенты для этих зон, с учетом всех проработок, параметров,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сформированых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на предыдущих стадиях и данные регламенты рекомендованы к внесению изменений в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пзз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г. Иркутска. </w:t>
      </w:r>
    </w:p>
    <w:p w14:paraId="3BD7DD58" w14:textId="38F9BAB6" w:rsidR="00A714B2" w:rsidRPr="005C00F2" w:rsidRDefault="0010571C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Территория</w:t>
      </w:r>
      <w:proofErr w:type="gramEnd"/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развития нового городского центра (зона 1) ограничена улицами Баррикад, Фридриха Энгельса, Октябрьской революции и продолжения улицы Карла Маркса до </w:t>
      </w:r>
      <w:proofErr w:type="spellStart"/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Маратовской</w:t>
      </w:r>
      <w:proofErr w:type="spellEnd"/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развязки. </w:t>
      </w:r>
    </w:p>
    <w:p w14:paraId="4E58D404" w14:textId="1AE77900" w:rsidR="00AE675C" w:rsidRPr="005C00F2" w:rsidRDefault="0010571C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32,33. Застройка выполнена с учетом регламентов </w:t>
      </w:r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проекта зон охраны. Максимальная этажность 8 этажей. 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На данном участке предполагается развитие территорий ТЦ Фортуна и территории завода ИЗТМ, как новых общественных пространств и объектов делового, коммерческого назначения общегородского уровня. Предусмотрено устройство мостовых переходов через реку </w:t>
      </w:r>
      <w:proofErr w:type="spellStart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с благоустройством набережной реки на обеих берегах.</w:t>
      </w:r>
    </w:p>
    <w:p w14:paraId="6E1BB776" w14:textId="5F7CA31E" w:rsidR="006C21D7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lastRenderedPageBreak/>
        <w:t xml:space="preserve">Территория реновации </w:t>
      </w:r>
      <w:r w:rsidR="00975C81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существующей</w:t>
      </w: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застройки (зона 2) ограничена улицами Баррикад, Фридриха Энгельса, набережной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и новой улицы, образованной в продолжении улиц Красноярская и Щедрина.  </w:t>
      </w:r>
    </w:p>
    <w:p w14:paraId="63533EBA" w14:textId="4B8AAF48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В данной зоне предполагается строительство объектов жилого, коммерческого и социального назначения с учетом сложившейся застройки</w:t>
      </w:r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и сноса ветхого жилья.  Регламенты для данной территории предусматривают снижение плотности застройки в зоне ЖЗ-104. Максимальная этажность 16 этажей. </w:t>
      </w:r>
      <w:proofErr w:type="gramStart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Застройка</w:t>
      </w:r>
      <w:proofErr w:type="gramEnd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более разряженная с обеспечением максимальной проницаемости к реке </w:t>
      </w:r>
      <w:proofErr w:type="spellStart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="006C21D7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, с максимальным процентом озеленения и благоустройства.</w:t>
      </w:r>
    </w:p>
    <w:p w14:paraId="51699DEA" w14:textId="227340E3" w:rsidR="006C21D7" w:rsidRPr="005C00F2" w:rsidRDefault="006C21D7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proofErr w:type="gram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Территория</w:t>
      </w:r>
      <w:proofErr w:type="gramEnd"/>
      <w:r w:rsidR="00A714B2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, прилегающая к данной зоне (выше улицы Баррикад) формируется с учетом исторически сложившихся кварталов, с сохранением ценной исторической среды и ведущей роли памятников истории и культуры района. </w:t>
      </w:r>
    </w:p>
    <w:p w14:paraId="0B9A4389" w14:textId="3A8D153D" w:rsidR="00A714B2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Проектом предусмотрен частичный перенос вновь выявленных объектов культурного наследия по улицам Баррикад, Ремесленная и Напольная (всего 11 домов), попадающих в застройку новых кварталов в более гармоничную для них историческую среду. </w:t>
      </w:r>
    </w:p>
    <w:p w14:paraId="3DE71802" w14:textId="41993A89" w:rsidR="00CF739D" w:rsidRPr="005C00F2" w:rsidRDefault="00CF739D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Данная программа реновации одобрена службой охраны памятников.</w:t>
      </w:r>
    </w:p>
    <w:p w14:paraId="3F7C75BD" w14:textId="23845370" w:rsidR="006C21D7" w:rsidRPr="005C00F2" w:rsidRDefault="00A714B2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</w:t>
      </w:r>
    </w:p>
    <w:p w14:paraId="381D89B4" w14:textId="517497A8" w:rsidR="00A714B2" w:rsidRPr="005C00F2" w:rsidRDefault="00A714B2" w:rsidP="001A45F7">
      <w:pPr>
        <w:spacing w:after="0" w:line="240" w:lineRule="auto"/>
        <w:rPr>
          <w:rFonts w:ascii="Calibri" w:eastAsia="Times New Roman" w:hAnsi="Calibri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Территория комплексного развития с формированием новых городских кварталов (зона 3) ограничена улицами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Сарафановская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, Зимняя,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Тулунская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, Баррикад, Братская и набережной реки </w:t>
      </w:r>
      <w:proofErr w:type="spellStart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Ушаковка</w:t>
      </w:r>
      <w:proofErr w:type="spellEnd"/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. На территории предполагается снос аварийного жилого фонда и строительство на его месте высокоплотной застройки между улицами Баррикад и Напольная. Также предусмотрено строительство социальных объектов </w:t>
      </w:r>
    </w:p>
    <w:p w14:paraId="60389B4D" w14:textId="00EAE15A" w:rsidR="00A714B2" w:rsidRPr="005C00F2" w:rsidRDefault="003C6766" w:rsidP="00A714B2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С</w:t>
      </w:r>
      <w:r w:rsidR="00EF37D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оздание главного планировочного элемента между ул. Баррикад и ул. Напольная позволит сформировать территорию (новые городские кварталы), которая будет драйвером развития всего района и сформирует новое направление развития города. </w:t>
      </w:r>
    </w:p>
    <w:p w14:paraId="307091BD" w14:textId="5CEF78B3" w:rsidR="00A714B2" w:rsidRPr="005C00F2" w:rsidRDefault="00A714B2" w:rsidP="00EF37D6">
      <w:pPr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ru-RU"/>
        </w:rPr>
      </w:pPr>
      <w:r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 xml:space="preserve">   В основе новой застройки заложен квартальный принцип для создания приватных, уютных дворовых пространств</w:t>
      </w:r>
      <w:r w:rsidR="00EF37D6" w:rsidRPr="005C00F2">
        <w:rPr>
          <w:rFonts w:ascii="Century Gothic" w:eastAsia="Times New Roman" w:hAnsi="Century Gothic" w:cs="Times New Roman"/>
          <w:sz w:val="20"/>
          <w:szCs w:val="20"/>
          <w:lang w:eastAsia="ru-RU"/>
        </w:rPr>
        <w:t>.</w:t>
      </w:r>
    </w:p>
    <w:p w14:paraId="2E25418F" w14:textId="77777777" w:rsidR="006D1856" w:rsidRPr="005C00F2" w:rsidRDefault="006D1856" w:rsidP="00A714B2">
      <w:pPr>
        <w:spacing w:after="0" w:line="240" w:lineRule="auto"/>
        <w:jc w:val="center"/>
        <w:rPr>
          <w:rFonts w:ascii="Century Gothic" w:eastAsia="Times New Roman" w:hAnsi="Century Gothic" w:cs="Times New Roman"/>
          <w:bCs/>
          <w:sz w:val="20"/>
          <w:szCs w:val="20"/>
          <w:lang w:eastAsia="ru-RU"/>
        </w:rPr>
      </w:pPr>
    </w:p>
    <w:sectPr w:rsidR="006D1856" w:rsidRPr="005C00F2" w:rsidSect="001A45F7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6A7008"/>
    <w:multiLevelType w:val="hybridMultilevel"/>
    <w:tmpl w:val="CB448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4B2"/>
    <w:rsid w:val="00050FFC"/>
    <w:rsid w:val="0010571C"/>
    <w:rsid w:val="001A45F7"/>
    <w:rsid w:val="00207897"/>
    <w:rsid w:val="002556F2"/>
    <w:rsid w:val="00366226"/>
    <w:rsid w:val="003C6766"/>
    <w:rsid w:val="004560BA"/>
    <w:rsid w:val="005663BD"/>
    <w:rsid w:val="005C00F2"/>
    <w:rsid w:val="006C21D7"/>
    <w:rsid w:val="006C4154"/>
    <w:rsid w:val="006D1856"/>
    <w:rsid w:val="00744F82"/>
    <w:rsid w:val="007C20FD"/>
    <w:rsid w:val="0085393F"/>
    <w:rsid w:val="008F5ECB"/>
    <w:rsid w:val="00975C81"/>
    <w:rsid w:val="009B1F39"/>
    <w:rsid w:val="00A714B2"/>
    <w:rsid w:val="00AE675C"/>
    <w:rsid w:val="00B805B4"/>
    <w:rsid w:val="00B9629A"/>
    <w:rsid w:val="00CF739D"/>
    <w:rsid w:val="00E73740"/>
    <w:rsid w:val="00ED6D3A"/>
    <w:rsid w:val="00EF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0C1AD"/>
  <w15:chartTrackingRefBased/>
  <w15:docId w15:val="{D263B00C-1E99-435F-9B2E-7802F866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5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5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5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2</cp:revision>
  <cp:lastPrinted>2023-05-10T09:09:00Z</cp:lastPrinted>
  <dcterms:created xsi:type="dcterms:W3CDTF">2023-05-10T09:10:00Z</dcterms:created>
  <dcterms:modified xsi:type="dcterms:W3CDTF">2023-05-10T09:10:00Z</dcterms:modified>
</cp:coreProperties>
</file>