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Акселерационная программа поддержки проектных команд и студенческих инициатив для формирования инновационных продуктов на базе Вятского государственного университета</w:t>
      </w:r>
    </w:p>
    <w:p w:rsidR="00000000" w:rsidDel="00000000" w:rsidP="00000000" w:rsidRDefault="00000000" w:rsidRPr="00000000" w14:paraId="00000002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Century Gothic" w:cs="Century Gothic" w:eastAsia="Century Gothic" w:hAnsi="Century Gothic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br w:type="textWrapping"/>
        <w:t xml:space="preserve">Акселерационная программа ВятГУ - комплекс мероприятий по развитию идей и проектов студенческих команд, направленных на создание новых продуктов и вовлечение в технологическое предпринимательство.</w:t>
      </w:r>
    </w:p>
    <w:p w:rsidR="00000000" w:rsidDel="00000000" w:rsidP="00000000" w:rsidRDefault="00000000" w:rsidRPr="00000000" w14:paraId="00000005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</w:t>
        <w:br w:type="textWrapping"/>
        <w:t xml:space="preserve">Программа акселератора ВятГУ дает студентам практический опыт работы над собственной бизнес-идеей и развития на ее основе продукта для создания бизнеса. Программа включает более 30 очных и онлайн мероприятий в том числе: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ind w:left="720" w:hanging="36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Стартовый интенсив для генерации продуктовых идей и формирования команд;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10 онлайн вебинаров по развитию продуктов;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8 индивидуальных трекшн-митингов для каждой команды (они позволяют  провести команду от гипотезы до прототипа в короткие сроки, а также помогают командам прокачать три типа навыков: продуктовые, управленческие, предпринимательские. Трекеры мотивируют команды, помогают протестировать гипотезы);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Экватор (промежуточная защита, на которой проект может представить свою идею потенциальным инвесторам);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Демодень (финальная защита проекта);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5 питч-сессий для организаций-партнеров;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10 экспертных выступлений и консультаций в т.ч. от представителей организаций-партнеров;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3 выступления от представителей региональной инновационной инфраструктуры и экосистемы;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2 визионерские лекции;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Выступления стартаперов;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Закрывающее мероприятие с презентацией дальнейших вариантов развития студенческих технологических проектов в регионе и на федеральном уровне.</w:t>
      </w:r>
    </w:p>
    <w:p w:rsidR="00000000" w:rsidDel="00000000" w:rsidP="00000000" w:rsidRDefault="00000000" w:rsidRPr="00000000" w14:paraId="00000011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br w:type="textWrapping"/>
        <w:t xml:space="preserve">За три месяца студенты успевают пройти полный цикл от поиска продуктовой идеи до питча (защиты) презентации стартап-проекта перед потенциальными инвесторами и партнерами.</w:t>
        <w:br w:type="textWrapping"/>
        <w:br w:type="textWrapping"/>
        <w:t xml:space="preserve">В процессе обучения студенты получают: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знания современных методологий разработки продуктов: lean startup, HADI циклы, Jobs To Be Done, Customer Development, agile, дизайн-мышление, юнит-экономика.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навыки владения основными инструментами разработки продуктов: шаблон персоны, карта эмпатии, шаблон ценностного предложения, Customer Journey Map, шаблон бизнес-модели (канва Остервальдера), “пиратские” метрики AARRR.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навыки поиска и генерации продуктовых идей;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навыки выдвижения и проверки продуктовых гипотез;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навыки профилирования и сегментации клиентов;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навыки формирования ценностных предложений;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навыки описания и улучшения пользовательских путей;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навыки бизнес-моделирования;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навыки расчета рынка и анализа конкурентов;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pos="262"/>
        </w:tabs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навыки расчета юнит-экономики продукта;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pos="262"/>
        </w:tabs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навыки подготовки презентации и питча;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pos="262"/>
        </w:tabs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презентация своего проекта перед потенциальными инвесторами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pos="262"/>
        </w:tabs>
        <w:spacing w:after="60" w:line="240" w:lineRule="auto"/>
        <w:ind w:firstLine="425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понимание мер поддержек от региональной инновационной инфраструктуры для дальнейшего развития и продвижения проекта на рынок</w:t>
      </w:r>
    </w:p>
    <w:p w:rsidR="00000000" w:rsidDel="00000000" w:rsidP="00000000" w:rsidRDefault="00000000" w:rsidRPr="00000000" w14:paraId="000000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pos="262"/>
        </w:tabs>
        <w:spacing w:after="60" w:line="24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В процессе обучения студенты о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своят: </w:t>
      </w:r>
    </w:p>
    <w:p w:rsidR="00000000" w:rsidDel="00000000" w:rsidP="00000000" w:rsidRDefault="00000000" w:rsidRPr="00000000" w14:paraId="00000021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rFonts w:ascii="Century Gothic" w:cs="Century Gothic" w:eastAsia="Century Gothic" w:hAnsi="Century Gothic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навыки создания продукта по продуктовой методологии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rFonts w:ascii="Century Gothic" w:cs="Century Gothic" w:eastAsia="Century Gothic" w:hAnsi="Century Gothic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основы предпринимательского поведения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rFonts w:ascii="Century Gothic" w:cs="Century Gothic" w:eastAsia="Century Gothic" w:hAnsi="Century Gothic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основы профессии и инструменты продуктолога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rFonts w:ascii="Century Gothic" w:cs="Century Gothic" w:eastAsia="Century Gothic" w:hAnsi="Century Gothic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методологию быстрой проверки продуктовых гипотез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>
          <w:rFonts w:ascii="Century Gothic" w:cs="Century Gothic" w:eastAsia="Century Gothic" w:hAnsi="Century Gothic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построения продукта и принятия бизнес решений на основе данных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rFonts w:ascii="Century Gothic" w:cs="Century Gothic" w:eastAsia="Century Gothic" w:hAnsi="Century Gothic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основные продуктовые метрики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rFonts w:ascii="Century Gothic" w:cs="Century Gothic" w:eastAsia="Century Gothic" w:hAnsi="Century Gothic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процесс создания собственного продуктового кейса и его защиты перед инвестиционным комитетом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rFonts w:ascii="Century Gothic" w:cs="Century Gothic" w:eastAsia="Century Gothic" w:hAnsi="Century Gothic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опыт проведения продуктовых исследований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rFonts w:ascii="Century Gothic" w:cs="Century Gothic" w:eastAsia="Century Gothic" w:hAnsi="Century Gothic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способы оценки рынков, сегментов и конкурентов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Noto Sans Symbols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