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https://pt.2035.university/project/karmannyj-urist-konsultant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26.12.2024 08:46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Карманный юрист-консультант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Создание в телеграмме помощника в сфере юриспруденции в области административного права бот-чата, основанный на принципе работы нейросетей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Нано-, био-, информационные, когнитивные технологии.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NeuroNet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хранения и анализа больших данных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- 1892210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- 5439871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Каверина София Владимировна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+79006789802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sofiakaverina@gmail.com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1898262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5021417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Никулин Алексей Дмитриевич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(951) 756-40-81, trigger.x@mail.ru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1898264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6088829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Беляев Антон Сергеевич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(931) 901-08-22, +7 (931) 901-08-22, antonbeliev555@gmail.com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1899350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5021369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Барышевский Даниил Александрович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238-34-84, +7 (953) 238-34-84, daniilbarysevskij9@gmail.com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1899346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4684450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Перий Александра Викторовна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(900) 992-50-05, aperij05@mail.ru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«Карманный юрист-консультант» – это платформа на базе нейросети, которая предоставляет пользователям доступ к правовой информации и консультациям прямо в их смартфоне. Мы предоставляем первичную юридическую помощь физическим лицам и малым предприятиям Преимущества, сильные стороны проекта: Доступная правовая информация Удобство использования Первичные консультации Результаты введение в обиход нашего проекта: Увеличение осведомленности граждан Снижение затрат на юридические услуги Увеличение доверия к правовой системе Сокращение времени на решение юридических вопросов Снижение количества правовых ошибок. Потребительские сигменты: начинающие компании и юр лица, профессиональные водители, граждане без знаний в юридической сфере и др.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Создание в телеграмме помощника в сфере юриспруденции в области административного права бот-чата, основанный на принципе работы нейросетей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Многие люди теряют деньги на штрафах из-за недоступности юридической помощи, а владельцы малых предприятий сталкиваются с правовыми проблемами, теряя время и доходы. Кроме того, страх обсуждать личные вопросы лицом к лицу создает дополнительный стресс.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Рынок B2C Малые предприятия, которые только начинают свой путь в бизнесе и ещё не подозревают какие юридические ловушки их могут ждать Все категории граждан, которые когда либо сталкивались с административными нарушениями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Искусственный интеллект на базе нейросети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Модель монетизации freemium, то есть большая часть информации предоставляется бесплатно, но для более объёмной консультации необходимо будет оформить платную подписку. Так же, мы планируем сотрудничать с юристами, которые предоставляют гражданам онлайн консультации.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 Консультант + 2 Правовед 3 Сберправо 4 Гарант 5 Консультант-юрист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 сравнении с конкурентами, наш проект имеет ряд преимуществ: Мы будем предоставлять большую часть информации бесплатно Мы сконцентрированы только на одной области права, а значит наши консультации будут более точными Наш проект не сможет заменить полноценной консультации с юристом, но он сможет предоставить наиболее доступную информацию пользователю. А также, в случае необходимости более глубокого анализа вопроса, сможет направить клиента к юристу на онлайн консультацию.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Уникальность нашего проекта состоит в том, что мы предоставляем наиболее доступную информацию для пользователя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Решение создаётся на базе бота в телеграмме, основанного на нейросети по разделу административного права В меню чата в телеграмме будет доступна функция покупки подписки, выбор использования чат бота для юридических и физических лиц для удобства в пользовании продуктом.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Организационные параметры: команда из 5 человек 1. Каверина софия – развитие проекта 2. Перий Александра–дизайн продукта 3. Барышевский Даниил– создание продукта 4. Никулин Алексей– создание продукта 5. Беляев антон - создание продукта Также требуется 6 участник - программист Финансовые параметры: Создание чат бота основанного на принципе работы нейросети на основе собственных средств и развития его дальнейшем на основе получения прибыли от проекта по рекламе, подписке и возможным инвестициям Производственные параметры: Создание чат бота основанного на работе нейросети в телеграмме. Хранение информации на программе icloud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Конкурентные преимущества Цена - бесплатно ( возможно платная подписка ) Область права - административная Доступность - всеобщая Обьем информации при ответе чат бота - с дополнительными от ссылками в законы Замена специалиста - не заменяет, но отсылает к нему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Решение создаётся на базе бота в телеграмме, основанного на нейросети по разделу административного права В меню чата в телеграмме будет доступна функция покупки подписки, выбор использования чат бота для юридических и физических лиц для удобства в пользовании продуктом.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TRL 2. Сравнение альтернатив, выбор технологической концепции, принципиальное решение: периметр технологии, интерфейс, критические элементы (НИР).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Приоритетным направлением работы ВУЗа является: Математическое моделирование и информационные технологии. Работа по организации НИР в ПсковГУ осуществляется на основе Федерального закона «Об образовании в Российской Федерации», нормативных документов Минобрнауки РФ, Стратегии научно-технологического развития Российской Федерации, Программы фундаментальных научных исследований в Российской Федерации на долгосрочный период (2021–2030 годы), Устава университета, Программы развития ПсковГУ на 2021–2030 гг., а также с учетом аккредитационных показателей и целевых показателей эффективности работы образовательных учреждений высшего образования, находящихся в ведении Минобрнауки РФ.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Мы предполагаем следующие варианты рекламы и коммуникаций: Встроенная реклама в навигаторе Контекстная реклама Продвижение аккаунтов в популярных социальных сетях Проведение вебинаров Сотрудничество со стартапами Специальные предложения(такие как скидки, акции и бонусные программы)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Сообщество автомобилистов, соцсети, реклама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Многие люди теряют деньги на штрафах из-за недоступности юридической помощи, а владельцы малых предприятий сталкиваются с правовыми проблемами, теряя время и доходы. Кроме того, страх обсуждать личные вопросы лицом к лицу создает дополнительный стресс. Наш продукт предоставляет наиболее доступную информацию пользователю для помощи решения его проблемы. Данные можно легко найти в телеграмм боте. Для того, чтобы узнать информацию не требуется скачивание отдельных приложений.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Автовладельцы испытывают необходимость в получении информации по административным штрафам. Наше решение позволяет быстро получить ответ и принять решение, за счёт использования нейросети.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может быть решена за счёт получения информации по запросу из бота, а при её недостаточности есть возможность предоставления наиболее полной консультации по интересующему вопросу.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Тенденции: рынок растущий Тематика востребована Проанализировав рынок, мы выяснили, что его общий объём, то есть общая стоимость обращений граждан к юристам, составляет 1 422 000 000 рублей. Доля обращений по административным делам составляет 342 297 000 рублей. И достижимый нашим проектом объём рынка составляет 5 134 455 рублей(1,5% от доли адм. обращений)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Срок, задача и ответственный В планах на 2024 год у нас создание минимально жизнеспособного прототипа, тестирование прототипа, и уже после получение инвестиций, в 2025 году, мы планируем запуск продукта и в дальнейшем, в 2026 году развивать наш продукт, в 2027 году - масштабирование.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