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 xml:space="preserve">я 2023г. </w:t>
            </w:r>
            <w:proofErr w:type="gramStart"/>
            <w:r w:rsidR="006978B0" w:rsidRPr="006978B0">
              <w:rPr>
                <w:rFonts w:ascii="Times New Roman" w:hAnsi="Times New Roman" w:cs="Times New Roman"/>
              </w:rPr>
              <w:t>№70-2023</w:t>
            </w:r>
            <w:proofErr w:type="gramEnd"/>
            <w:r w:rsidR="006978B0"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127E0C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2E2F0D84" w:rsidR="00C15BF1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00F418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9B187ED" w14:textId="31F984F1" w:rsidR="006F2F29" w:rsidRPr="0087698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698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D6280">
              <w:rPr>
                <w:rFonts w:ascii="Times New Roman" w:hAnsi="Times New Roman" w:cs="Times New Roman"/>
              </w:rPr>
              <w:t>id</w:t>
            </w:r>
            <w:proofErr w:type="spellEnd"/>
            <w:r w:rsidR="008D6280">
              <w:rPr>
                <w:rFonts w:ascii="Times New Roman" w:hAnsi="Times New Roman" w:cs="Times New Roman"/>
              </w:rPr>
              <w:t xml:space="preserve"> 4982662</w:t>
            </w:r>
          </w:p>
          <w:p w14:paraId="4AB86185" w14:textId="2A666BE4" w:rsidR="006F2F29" w:rsidRPr="0087698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698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</w:t>
            </w:r>
            <w:r w:rsidR="005B7B45">
              <w:rPr>
                <w:rFonts w:ascii="Times New Roman" w:hAnsi="Times New Roman" w:cs="Times New Roman"/>
              </w:rPr>
              <w:t xml:space="preserve">илатова Варвара Андреевна </w:t>
            </w:r>
          </w:p>
          <w:p w14:paraId="1E81FDAA" w14:textId="6C17EF0C" w:rsidR="006F2F29" w:rsidRPr="0087698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071EDC4" w14:textId="3492CF08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6B45ED">
              <w:rPr>
                <w:rFonts w:ascii="Times New Roman" w:hAnsi="Times New Roman" w:cs="Times New Roman"/>
              </w:rPr>
              <w:t>varya.filatova.0204@mail.ru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559"/>
              <w:gridCol w:w="992"/>
              <w:gridCol w:w="1134"/>
              <w:gridCol w:w="1276"/>
              <w:gridCol w:w="1559"/>
            </w:tblGrid>
            <w:tr w:rsidR="006F69C0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559" w:type="dxa"/>
                </w:tcPr>
                <w:p w14:paraId="11988912" w14:textId="78C1FEB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6F69C0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1BB8A8BB" w14:textId="064818F0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Филатова Варвара Андреевна</w:t>
                  </w:r>
                </w:p>
              </w:tc>
              <w:tc>
                <w:tcPr>
                  <w:tcW w:w="992" w:type="dxa"/>
                </w:tcPr>
                <w:p w14:paraId="162DE0A8" w14:textId="660DBF34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134" w:type="dxa"/>
                </w:tcPr>
                <w:p w14:paraId="791054E2" w14:textId="499C3E7B" w:rsidR="006F69C0" w:rsidRPr="007C699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varya.filatova.0204@mail.ru</w:t>
                  </w:r>
                </w:p>
              </w:tc>
              <w:tc>
                <w:tcPr>
                  <w:tcW w:w="1276" w:type="dxa"/>
                </w:tcPr>
                <w:p w14:paraId="029569BA" w14:textId="0A15DA71" w:rsidR="006F69C0" w:rsidRPr="00FB3DAB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4FED7EFC" w:rsidR="006F69C0" w:rsidRPr="0089377B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2 курса бакалавриата</w:t>
                  </w:r>
                </w:p>
              </w:tc>
            </w:tr>
            <w:tr w:rsidR="006F69C0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25260538" w14:textId="275EC524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Арутюнова Ксения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Арсеновна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3EA2F5C8" w14:textId="192594B1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0CBBDB97" w14:textId="3142B631" w:rsidR="006F69C0" w:rsidRPr="000D797C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ksenia.a2004@yandex.ru</w:t>
                  </w:r>
                </w:p>
              </w:tc>
              <w:tc>
                <w:tcPr>
                  <w:tcW w:w="1276" w:type="dxa"/>
                </w:tcPr>
                <w:p w14:paraId="1DE3F2D8" w14:textId="60A781CB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674CF52D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2 курса бакалавриата</w:t>
                  </w:r>
                </w:p>
              </w:tc>
            </w:tr>
            <w:tr w:rsidR="006F69C0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0B02F549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69C0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6F69C0" w:rsidRPr="006978B0" w:rsidRDefault="006F69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2469810" w14:textId="77777777" w:rsidR="00726A23" w:rsidRDefault="00726A2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5D87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описание стартап-проекта по теме «Вендинговый автомат по продажи перевязочных средств».</w:t>
            </w:r>
          </w:p>
          <w:p w14:paraId="39DB95C2" w14:textId="77777777" w:rsidR="00726A23" w:rsidRDefault="00726A2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5D87">
              <w:rPr>
                <w:rFonts w:ascii="Times New Roman" w:hAnsi="Times New Roman" w:cs="Times New Roman"/>
                <w:b/>
                <w:bCs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Создание описания проекта; разработка примерной сметы проекта; выявление целевой аудитории продукта; выявление конкурирующих сторон.</w:t>
            </w:r>
          </w:p>
          <w:p w14:paraId="77BC1042" w14:textId="288AFAA4" w:rsidR="00726A23" w:rsidRPr="006978B0" w:rsidRDefault="00726A2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5D87">
              <w:rPr>
                <w:rFonts w:ascii="Times New Roman" w:hAnsi="Times New Roman" w:cs="Times New Roman"/>
                <w:b/>
                <w:bCs/>
              </w:rPr>
              <w:t>Ожидаемыми результатами</w:t>
            </w:r>
            <w:r>
              <w:rPr>
                <w:rFonts w:ascii="Times New Roman" w:hAnsi="Times New Roman" w:cs="Times New Roman"/>
              </w:rPr>
              <w:t xml:space="preserve"> проекта является создание готового бизнес-плана проекта о вендинговом аппарате с перевязочными средствами. </w:t>
            </w:r>
            <w:r w:rsidRPr="00175D87">
              <w:rPr>
                <w:rFonts w:ascii="Times New Roman" w:hAnsi="Times New Roman" w:cs="Times New Roman"/>
                <w:b/>
                <w:bCs/>
              </w:rPr>
              <w:t>Областями применения</w:t>
            </w:r>
            <w:r>
              <w:rPr>
                <w:rFonts w:ascii="Times New Roman" w:hAnsi="Times New Roman" w:cs="Times New Roman"/>
              </w:rPr>
              <w:t xml:space="preserve"> результатов являются здравоохранение и медицина.</w:t>
            </w:r>
            <w:r w:rsidR="00704133">
              <w:rPr>
                <w:rFonts w:ascii="Times New Roman" w:hAnsi="Times New Roman" w:cs="Times New Roman"/>
              </w:rPr>
              <w:t xml:space="preserve"> Потенциальными потребителями являются лица в возрасте от 15 до 70 лет </w:t>
            </w:r>
            <w:r w:rsidR="008C63AF">
              <w:rPr>
                <w:rFonts w:ascii="Times New Roman" w:hAnsi="Times New Roman" w:cs="Times New Roman"/>
              </w:rPr>
              <w:t>с</w:t>
            </w:r>
            <w:r w:rsidR="00704133">
              <w:rPr>
                <w:rFonts w:ascii="Times New Roman" w:hAnsi="Times New Roman" w:cs="Times New Roman"/>
              </w:rPr>
              <w:t>о средним доходом.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16EB33C" w:rsidR="00C967D3" w:rsidRPr="006978B0" w:rsidRDefault="009A4B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Вендинговый а</w:t>
            </w:r>
            <w:r w:rsidR="00D254D1">
              <w:rPr>
                <w:rFonts w:ascii="Times New Roman" w:hAnsi="Times New Roman" w:cs="Times New Roman"/>
              </w:rPr>
              <w:t>втомат</w:t>
            </w:r>
            <w:r w:rsidR="001D698F">
              <w:rPr>
                <w:rFonts w:ascii="Times New Roman" w:hAnsi="Times New Roman" w:cs="Times New Roman"/>
              </w:rPr>
              <w:t>, ассортимент которого представлен перевязочными средствами, пластырями, санитайзерами, а также средствами первой помощи</w:t>
            </w:r>
            <w:r w:rsidR="00175D87">
              <w:rPr>
                <w:rFonts w:ascii="Times New Roman" w:hAnsi="Times New Roman" w:cs="Times New Roman"/>
              </w:rPr>
              <w:t xml:space="preserve"> </w:t>
            </w:r>
            <w:r w:rsidR="001D698F">
              <w:rPr>
                <w:rFonts w:ascii="Times New Roman" w:hAnsi="Times New Roman" w:cs="Times New Roman"/>
              </w:rPr>
              <w:t>(йод, зеленка, антисептик</w:t>
            </w:r>
            <w:r w:rsidR="00E44DF2">
              <w:rPr>
                <w:rFonts w:ascii="Times New Roman" w:hAnsi="Times New Roman" w:cs="Times New Roman"/>
              </w:rPr>
              <w:t>и</w:t>
            </w:r>
            <w:r w:rsidR="001D698F">
              <w:rPr>
                <w:rFonts w:ascii="Times New Roman" w:hAnsi="Times New Roman" w:cs="Times New Roman"/>
              </w:rPr>
              <w:t>).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7A8CD1B" w14:textId="77777777" w:rsidR="00D254D1" w:rsidRPr="00D254D1" w:rsidRDefault="00D254D1" w:rsidP="00D254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>Проблемы, которые решает проект:</w:t>
            </w:r>
          </w:p>
          <w:p w14:paraId="31D16205" w14:textId="77777777" w:rsidR="00D254D1" w:rsidRPr="00D254D1" w:rsidRDefault="00D254D1" w:rsidP="00D254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>Низкая доступность перевязочных средств</w:t>
            </w:r>
          </w:p>
          <w:p w14:paraId="356C875F" w14:textId="48AA3228" w:rsidR="00C967D3" w:rsidRPr="00D254D1" w:rsidRDefault="00D254D1" w:rsidP="00D254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>Высокая загруженность аптек и точек продажи перевязочных средств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F104CFD" w14:textId="77777777" w:rsidR="00D254D1" w:rsidRPr="00D254D1" w:rsidRDefault="00D254D1" w:rsidP="00D254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>Целевая Аудитория:</w:t>
            </w:r>
          </w:p>
          <w:p w14:paraId="2F668969" w14:textId="77777777" w:rsidR="00D254D1" w:rsidRPr="00D254D1" w:rsidRDefault="00D254D1" w:rsidP="00D254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 xml:space="preserve">Студенты, молодые люди в возрасте </w:t>
            </w:r>
            <w:proofErr w:type="gramStart"/>
            <w:r w:rsidRPr="00D254D1">
              <w:rPr>
                <w:rFonts w:ascii="Times New Roman" w:hAnsi="Times New Roman" w:cs="Times New Roman"/>
              </w:rPr>
              <w:t>17-25</w:t>
            </w:r>
            <w:proofErr w:type="gramEnd"/>
            <w:r w:rsidRPr="00D254D1">
              <w:rPr>
                <w:rFonts w:ascii="Times New Roman" w:hAnsi="Times New Roman" w:cs="Times New Roman"/>
              </w:rPr>
              <w:t xml:space="preserve"> лет</w:t>
            </w:r>
          </w:p>
          <w:p w14:paraId="0BB25298" w14:textId="373AB07B" w:rsidR="00D254D1" w:rsidRPr="00D254D1" w:rsidRDefault="00D254D1" w:rsidP="00D254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 xml:space="preserve">Посетители </w:t>
            </w:r>
            <w:r w:rsidR="005655E6" w:rsidRPr="00D254D1">
              <w:rPr>
                <w:rFonts w:ascii="Times New Roman" w:hAnsi="Times New Roman" w:cs="Times New Roman"/>
              </w:rPr>
              <w:t>общественных мест,</w:t>
            </w:r>
            <w:r w:rsidRPr="00D254D1">
              <w:rPr>
                <w:rFonts w:ascii="Times New Roman" w:hAnsi="Times New Roman" w:cs="Times New Roman"/>
              </w:rPr>
              <w:t xml:space="preserve"> в число которых входят вокзалы, торговые центры, магазины, поликлиники, бизнес-центры</w:t>
            </w:r>
          </w:p>
          <w:p w14:paraId="531755B4" w14:textId="77777777" w:rsidR="00D254D1" w:rsidRPr="00D254D1" w:rsidRDefault="00D254D1" w:rsidP="00D254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>Офисные работники, обслуживающий персонал</w:t>
            </w:r>
          </w:p>
          <w:p w14:paraId="413FB4FB" w14:textId="77777777" w:rsidR="00D254D1" w:rsidRPr="00D254D1" w:rsidRDefault="00D254D1" w:rsidP="00D254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254D1">
              <w:rPr>
                <w:rFonts w:ascii="Times New Roman" w:hAnsi="Times New Roman" w:cs="Times New Roman"/>
              </w:rPr>
              <w:t>Люди любых возрастов, получившие травму во время пользования транспортными средствами</w:t>
            </w:r>
          </w:p>
          <w:p w14:paraId="6149D0F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E13C9F4" w:rsidR="00C967D3" w:rsidRPr="006978B0" w:rsidRDefault="00B44BE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будет создан </w:t>
            </w:r>
            <w:r w:rsidR="00C82DD5">
              <w:rPr>
                <w:rFonts w:ascii="Times New Roman" w:hAnsi="Times New Roman" w:cs="Times New Roman"/>
              </w:rPr>
              <w:t xml:space="preserve">на подобии </w:t>
            </w:r>
            <w:proofErr w:type="gramStart"/>
            <w:r w:rsidR="00C82DD5">
              <w:rPr>
                <w:rFonts w:ascii="Times New Roman" w:hAnsi="Times New Roman" w:cs="Times New Roman"/>
              </w:rPr>
              <w:t xml:space="preserve">уже </w:t>
            </w:r>
            <w:r w:rsidR="009A4B9B">
              <w:rPr>
                <w:rFonts w:ascii="Times New Roman" w:hAnsi="Times New Roman" w:cs="Times New Roman"/>
              </w:rPr>
              <w:t>существующих</w:t>
            </w:r>
            <w:proofErr w:type="gramEnd"/>
            <w:r w:rsidR="009A4B9B">
              <w:rPr>
                <w:rFonts w:ascii="Times New Roman" w:hAnsi="Times New Roman" w:cs="Times New Roman"/>
              </w:rPr>
              <w:t xml:space="preserve"> вендинговых </w:t>
            </w:r>
            <w:r w:rsidR="00C82DD5">
              <w:rPr>
                <w:rFonts w:ascii="Times New Roman" w:hAnsi="Times New Roman" w:cs="Times New Roman"/>
              </w:rPr>
              <w:t xml:space="preserve">автоматов по продажи еды и напитков, но с </w:t>
            </w:r>
            <w:r w:rsidR="009A4B9B">
              <w:rPr>
                <w:rFonts w:ascii="Times New Roman" w:hAnsi="Times New Roman" w:cs="Times New Roman"/>
              </w:rPr>
              <w:t xml:space="preserve">внесенными </w:t>
            </w:r>
            <w:r w:rsidR="00C82DD5">
              <w:rPr>
                <w:rFonts w:ascii="Times New Roman" w:hAnsi="Times New Roman" w:cs="Times New Roman"/>
              </w:rPr>
              <w:t xml:space="preserve">изменениями </w:t>
            </w:r>
            <w:r w:rsidR="009A4B9B">
              <w:rPr>
                <w:rFonts w:ascii="Times New Roman" w:hAnsi="Times New Roman" w:cs="Times New Roman"/>
              </w:rPr>
              <w:t xml:space="preserve">для продажи </w:t>
            </w:r>
            <w:r w:rsidR="005655E6">
              <w:rPr>
                <w:rFonts w:ascii="Times New Roman" w:hAnsi="Times New Roman" w:cs="Times New Roman"/>
              </w:rPr>
              <w:t>перевязочных товаров.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5BA84693" w14:textId="15ACA4D3" w:rsidR="00C967D3" w:rsidRDefault="009D19E7" w:rsidP="00A224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22412">
              <w:rPr>
                <w:rFonts w:ascii="Times New Roman" w:hAnsi="Times New Roman" w:cs="Times New Roman"/>
              </w:rPr>
              <w:t xml:space="preserve">На основе автономной работы </w:t>
            </w:r>
            <w:r w:rsidR="00175D87" w:rsidRPr="00A22412">
              <w:rPr>
                <w:rFonts w:ascii="Times New Roman" w:hAnsi="Times New Roman" w:cs="Times New Roman"/>
              </w:rPr>
              <w:t xml:space="preserve">вендингового </w:t>
            </w:r>
            <w:r w:rsidRPr="00A22412">
              <w:rPr>
                <w:rFonts w:ascii="Times New Roman" w:hAnsi="Times New Roman" w:cs="Times New Roman"/>
              </w:rPr>
              <w:t>автомата</w:t>
            </w:r>
            <w:r w:rsidR="00A22412" w:rsidRPr="00A22412">
              <w:rPr>
                <w:rFonts w:ascii="Times New Roman" w:hAnsi="Times New Roman" w:cs="Times New Roman"/>
              </w:rPr>
              <w:t xml:space="preserve"> будет осуществляться оплата товаров, представленных в устройстве.</w:t>
            </w:r>
          </w:p>
          <w:p w14:paraId="39E54D3D" w14:textId="5BCCF743" w:rsidR="00A22412" w:rsidRDefault="00A22412" w:rsidP="00A224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Партнерство будет осуществляться с заинтересованными сторонами, готовыми инвестировать в проект.</w:t>
            </w:r>
          </w:p>
          <w:p w14:paraId="7ECDC51E" w14:textId="0FD8B373" w:rsidR="00A22412" w:rsidRDefault="00A22412" w:rsidP="00A224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товара будет осуществляться через установку партнерских отношений с производителями вендинговых автоматов.</w:t>
            </w:r>
          </w:p>
          <w:p w14:paraId="134D05ED" w14:textId="6F29F189" w:rsidR="00A22412" w:rsidRPr="00A22412" w:rsidRDefault="00A22412" w:rsidP="00A224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продвижения являются реклама в интернете, а каналами сбыта являются маркетплейсы и различные сайты, специализирующиеся на продаже вендинговых автоматов.</w:t>
            </w:r>
          </w:p>
          <w:p w14:paraId="5AE6C51E" w14:textId="761D35CF" w:rsidR="00A22412" w:rsidRPr="006978B0" w:rsidRDefault="00A224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2534ED77" w:rsidR="00C967D3" w:rsidRPr="006978B0" w:rsidRDefault="00D254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Аптеки, гипермаркеты, аптечные пункты, магазины</w:t>
            </w:r>
            <w:r w:rsidR="00517A90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5851F7F" w:rsidR="00C967D3" w:rsidRPr="006978B0" w:rsidRDefault="0087084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по продаже перевязочных средств </w:t>
            </w:r>
            <w:r w:rsidR="00517A90">
              <w:rPr>
                <w:rFonts w:ascii="Times New Roman" w:hAnsi="Times New Roman" w:cs="Times New Roman"/>
              </w:rPr>
              <w:t>отличается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A90">
              <w:rPr>
                <w:rFonts w:ascii="Times New Roman" w:hAnsi="Times New Roman" w:cs="Times New Roman"/>
              </w:rPr>
              <w:t>удобстве использования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76393">
              <w:rPr>
                <w:rFonts w:ascii="Times New Roman" w:hAnsi="Times New Roman" w:cs="Times New Roman"/>
              </w:rPr>
              <w:t>Человек не тратит большое количество времени, находясь в очереди</w:t>
            </w:r>
            <w:r w:rsidR="009E287F">
              <w:rPr>
                <w:rFonts w:ascii="Times New Roman" w:hAnsi="Times New Roman" w:cs="Times New Roman"/>
              </w:rPr>
              <w:t xml:space="preserve"> за необходимым товаром (как например в аптеке). Автоматы также имеют компактный размер, что позволяет размещать их практически в любом месте.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EEFD349" w14:textId="60272402" w:rsidR="00C967D3" w:rsidRDefault="00D254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Конкурентное преимущество:</w:t>
            </w:r>
          </w:p>
          <w:tbl>
            <w:tblPr>
              <w:tblW w:w="428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80"/>
            </w:tblGrid>
            <w:tr w:rsidR="00D254D1" w:rsidRPr="00D254D1" w14:paraId="2B5C0EE7" w14:textId="77777777" w:rsidTr="00A80FB7">
              <w:trPr>
                <w:trHeight w:val="584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10797EC" w14:textId="77777777" w:rsidR="00D254D1" w:rsidRPr="00A80FB7" w:rsidRDefault="00D254D1" w:rsidP="00D254D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80FB7">
                    <w:rPr>
                      <w:rFonts w:ascii="Times New Roman" w:hAnsi="Times New Roman" w:cs="Times New Roman"/>
                    </w:rPr>
                    <w:t>Небольшой размер автомата позволяет увеличить количество размещенных экземпляров</w:t>
                  </w:r>
                </w:p>
              </w:tc>
            </w:tr>
            <w:tr w:rsidR="00D254D1" w:rsidRPr="00D254D1" w14:paraId="7A0864A5" w14:textId="77777777" w:rsidTr="00A80FB7">
              <w:trPr>
                <w:trHeight w:val="584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B4896A" w14:textId="77777777" w:rsidR="00D254D1" w:rsidRPr="00D254D1" w:rsidRDefault="00D254D1" w:rsidP="00D254D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254D1">
                    <w:rPr>
                      <w:rFonts w:ascii="Times New Roman" w:hAnsi="Times New Roman" w:cs="Times New Roman"/>
                    </w:rPr>
                    <w:t>Ассортимент ограничивается несколькими брендами и видами товаров</w:t>
                  </w:r>
                </w:p>
              </w:tc>
            </w:tr>
            <w:tr w:rsidR="00D254D1" w:rsidRPr="00D254D1" w14:paraId="310F64B4" w14:textId="77777777" w:rsidTr="00A80FB7">
              <w:trPr>
                <w:trHeight w:val="584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0A1689" w14:textId="77777777" w:rsidR="00D254D1" w:rsidRPr="00D254D1" w:rsidRDefault="00D254D1" w:rsidP="00D254D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254D1">
                    <w:rPr>
                      <w:rFonts w:ascii="Times New Roman" w:hAnsi="Times New Roman" w:cs="Times New Roman"/>
                    </w:rPr>
                    <w:t xml:space="preserve">Можно разместить в зданиях, офисах, больницах, на улице и </w:t>
                  </w:r>
                  <w:proofErr w:type="gramStart"/>
                  <w:r w:rsidRPr="00D254D1">
                    <w:rPr>
                      <w:rFonts w:ascii="Times New Roman" w:hAnsi="Times New Roman" w:cs="Times New Roman"/>
                    </w:rPr>
                    <w:t>т.д.</w:t>
                  </w:r>
                  <w:proofErr w:type="gramEnd"/>
                </w:p>
              </w:tc>
            </w:tr>
          </w:tbl>
          <w:p w14:paraId="51F86279" w14:textId="24947CB8" w:rsidR="00D254D1" w:rsidRPr="006978B0" w:rsidRDefault="00D254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14DC6313" w:rsidR="00C967D3" w:rsidRPr="006978B0" w:rsidRDefault="00426FA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основу берется автомат по продаже еды и напитком и усовершенствуется под размер продаваемой продукции.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B012CF2" w14:textId="77777777" w:rsidR="00C967D3" w:rsidRDefault="00C14CA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Партнерами могут выступать:</w:t>
            </w:r>
          </w:p>
          <w:p w14:paraId="3439AED4" w14:textId="77777777" w:rsidR="00C14CA1" w:rsidRDefault="00C14CA1" w:rsidP="00C14C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Производители средств первой помощи. Партнерство с данной отраслью рынку поможет сократить издержки по оснащению вендинговых аппаратов предполагаемой продукцией.</w:t>
            </w:r>
          </w:p>
          <w:p w14:paraId="47ABB3ED" w14:textId="6E966270" w:rsidR="00C14CA1" w:rsidRPr="00C14CA1" w:rsidRDefault="00C14CA1" w:rsidP="00C14C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Офисы и учебные заведения. Размещение автоматов в данных общественных местах повысит продажи, а заведения будут получать проценты за предоставленную возможность в размещении аппаратов.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BCEF806" w14:textId="77777777" w:rsidR="00D254D1" w:rsidRDefault="00D254D1" w:rsidP="00D254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Конкурентное преимущество:</w:t>
            </w:r>
          </w:p>
          <w:tbl>
            <w:tblPr>
              <w:tblStyle w:val="a4"/>
              <w:tblW w:w="4741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813"/>
              <w:gridCol w:w="1701"/>
            </w:tblGrid>
            <w:tr w:rsidR="000C71EC" w:rsidRPr="000C71EC" w14:paraId="6544A420" w14:textId="77777777" w:rsidTr="000C71EC">
              <w:trPr>
                <w:trHeight w:val="584"/>
              </w:trPr>
              <w:tc>
                <w:tcPr>
                  <w:tcW w:w="1227" w:type="dxa"/>
                  <w:hideMark/>
                </w:tcPr>
                <w:p w14:paraId="25D58ADF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  <w:b/>
                      <w:bCs/>
                    </w:rPr>
                    <w:t>Критерий</w:t>
                  </w:r>
                </w:p>
              </w:tc>
              <w:tc>
                <w:tcPr>
                  <w:tcW w:w="1813" w:type="dxa"/>
                  <w:hideMark/>
                </w:tcPr>
                <w:p w14:paraId="0C3D614F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  <w:b/>
                      <w:bCs/>
                    </w:rPr>
                    <w:t>Автомат с перевязочными средствами</w:t>
                  </w:r>
                </w:p>
              </w:tc>
              <w:tc>
                <w:tcPr>
                  <w:tcW w:w="1701" w:type="dxa"/>
                  <w:hideMark/>
                </w:tcPr>
                <w:p w14:paraId="29CAD470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  <w:b/>
                      <w:bCs/>
                    </w:rPr>
                    <w:t>Аптеки</w:t>
                  </w:r>
                </w:p>
              </w:tc>
            </w:tr>
            <w:tr w:rsidR="000C71EC" w:rsidRPr="000C71EC" w14:paraId="54A5A81B" w14:textId="77777777" w:rsidTr="000C71EC">
              <w:trPr>
                <w:trHeight w:val="584"/>
              </w:trPr>
              <w:tc>
                <w:tcPr>
                  <w:tcW w:w="1227" w:type="dxa"/>
                  <w:hideMark/>
                </w:tcPr>
                <w:p w14:paraId="15595EDB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Доступность</w:t>
                  </w:r>
                </w:p>
              </w:tc>
              <w:tc>
                <w:tcPr>
                  <w:tcW w:w="1813" w:type="dxa"/>
                  <w:hideMark/>
                </w:tcPr>
                <w:p w14:paraId="2098BB5F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Небольшой размер автомата позволяет увеличить количество размещенных экземпляров</w:t>
                  </w:r>
                </w:p>
              </w:tc>
              <w:tc>
                <w:tcPr>
                  <w:tcW w:w="1701" w:type="dxa"/>
                  <w:hideMark/>
                </w:tcPr>
                <w:p w14:paraId="1E58EDC0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Привязанность аптеки к зданию не позволяет иметь большое размещение </w:t>
                  </w:r>
                </w:p>
              </w:tc>
            </w:tr>
            <w:tr w:rsidR="000C71EC" w:rsidRPr="000C71EC" w14:paraId="3D0E8DAB" w14:textId="77777777" w:rsidTr="000C71EC">
              <w:trPr>
                <w:trHeight w:val="584"/>
              </w:trPr>
              <w:tc>
                <w:tcPr>
                  <w:tcW w:w="1227" w:type="dxa"/>
                  <w:hideMark/>
                </w:tcPr>
                <w:p w14:paraId="722EE6FA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Ассортимент</w:t>
                  </w:r>
                </w:p>
              </w:tc>
              <w:tc>
                <w:tcPr>
                  <w:tcW w:w="1813" w:type="dxa"/>
                  <w:hideMark/>
                </w:tcPr>
                <w:p w14:paraId="0C5FF67D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Ассортимент ограничивается несколькими брендами и видами товаров</w:t>
                  </w:r>
                </w:p>
              </w:tc>
              <w:tc>
                <w:tcPr>
                  <w:tcW w:w="1701" w:type="dxa"/>
                  <w:hideMark/>
                </w:tcPr>
                <w:p w14:paraId="587FE204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Больший ассортимент, представлено больше брендов</w:t>
                  </w:r>
                </w:p>
              </w:tc>
            </w:tr>
            <w:tr w:rsidR="000C71EC" w:rsidRPr="000C71EC" w14:paraId="4C18CA84" w14:textId="77777777" w:rsidTr="000C71EC">
              <w:trPr>
                <w:trHeight w:val="584"/>
              </w:trPr>
              <w:tc>
                <w:tcPr>
                  <w:tcW w:w="1227" w:type="dxa"/>
                  <w:hideMark/>
                </w:tcPr>
                <w:p w14:paraId="725DA745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Местонахождение</w:t>
                  </w:r>
                </w:p>
              </w:tc>
              <w:tc>
                <w:tcPr>
                  <w:tcW w:w="1813" w:type="dxa"/>
                  <w:hideMark/>
                </w:tcPr>
                <w:p w14:paraId="0DE6ED38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 xml:space="preserve">Можно разместить в зданиях, офисах, больницах, на улице и </w:t>
                  </w:r>
                  <w:proofErr w:type="gramStart"/>
                  <w:r w:rsidRPr="000C71EC">
                    <w:rPr>
                      <w:rFonts w:ascii="Times New Roman" w:hAnsi="Times New Roman" w:cs="Times New Roman"/>
                    </w:rPr>
                    <w:t>т.д.</w:t>
                  </w:r>
                  <w:proofErr w:type="gramEnd"/>
                </w:p>
              </w:tc>
              <w:tc>
                <w:tcPr>
                  <w:tcW w:w="1701" w:type="dxa"/>
                  <w:hideMark/>
                </w:tcPr>
                <w:p w14:paraId="6F27273A" w14:textId="77777777" w:rsidR="000C71EC" w:rsidRPr="000C71EC" w:rsidRDefault="000C71EC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0C71EC">
                    <w:rPr>
                      <w:rFonts w:ascii="Times New Roman" w:hAnsi="Times New Roman" w:cs="Times New Roman"/>
                    </w:rPr>
                    <w:t>Размещение аптек к только в зданиях</w:t>
                  </w:r>
                </w:p>
              </w:tc>
            </w:tr>
            <w:tr w:rsidR="006F69C0" w:rsidRPr="000C71EC" w14:paraId="16DEBF9B" w14:textId="77777777" w:rsidTr="000C71EC">
              <w:trPr>
                <w:trHeight w:val="584"/>
              </w:trPr>
              <w:tc>
                <w:tcPr>
                  <w:tcW w:w="1227" w:type="dxa"/>
                </w:tcPr>
                <w:p w14:paraId="5C6E4DF4" w14:textId="70555D58" w:rsidR="006F69C0" w:rsidRPr="000C71EC" w:rsidRDefault="006F69C0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Временное ограничение</w:t>
                  </w:r>
                </w:p>
              </w:tc>
              <w:tc>
                <w:tcPr>
                  <w:tcW w:w="1813" w:type="dxa"/>
                </w:tcPr>
                <w:p w14:paraId="0EB160A3" w14:textId="586CCFA6" w:rsidR="006F69C0" w:rsidRPr="000C71EC" w:rsidRDefault="006F69C0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Работает круглосуточно</w:t>
                  </w:r>
                </w:p>
              </w:tc>
              <w:tc>
                <w:tcPr>
                  <w:tcW w:w="1701" w:type="dxa"/>
                </w:tcPr>
                <w:p w14:paraId="45D4FC45" w14:textId="155BD0C3" w:rsidR="006F69C0" w:rsidRPr="000C71EC" w:rsidRDefault="006F69C0" w:rsidP="000C71E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Большинство работают с 9 до 21</w:t>
                  </w:r>
                </w:p>
              </w:tc>
            </w:tr>
          </w:tbl>
          <w:p w14:paraId="4C7EE9EC" w14:textId="4BE6AED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5DCB389E" w:rsidR="00346CE2" w:rsidRPr="006978B0" w:rsidRDefault="002A40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346CE2"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4BDD3EA" w:rsidR="00346CE2" w:rsidRPr="006978B0" w:rsidRDefault="00DB5CA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Вендинговый </w:t>
            </w:r>
            <w:r w:rsidR="00FB254D">
              <w:rPr>
                <w:rFonts w:ascii="Times New Roman" w:hAnsi="Times New Roman" w:cs="Times New Roman"/>
              </w:rPr>
              <w:t>автомат, настроенный для продажи перевязочных средств.</w:t>
            </w:r>
            <w:r w:rsidR="003F1558">
              <w:rPr>
                <w:rFonts w:ascii="Times New Roman" w:hAnsi="Times New Roman" w:cs="Times New Roman"/>
              </w:rPr>
              <w:t xml:space="preserve"> Для его разработки не понадобится большое количество средств, </w:t>
            </w:r>
            <w:proofErr w:type="gramStart"/>
            <w:r w:rsidR="003F1558">
              <w:rPr>
                <w:rFonts w:ascii="Times New Roman" w:hAnsi="Times New Roman" w:cs="Times New Roman"/>
              </w:rPr>
              <w:t>т.к.</w:t>
            </w:r>
            <w:proofErr w:type="gramEnd"/>
            <w:r w:rsidR="003F1558">
              <w:rPr>
                <w:rFonts w:ascii="Times New Roman" w:hAnsi="Times New Roman" w:cs="Times New Roman"/>
              </w:rPr>
              <w:t xml:space="preserve"> основная конструкция уже существует, однако, нужен специалист, который перепрограммирует уже готовый автомат под нужды проекта.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18BAEFBD" w:rsidR="00346CE2" w:rsidRPr="006978B0" w:rsidRDefault="0087698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идея </w:t>
            </w:r>
            <w:proofErr w:type="spellStart"/>
            <w:r>
              <w:rPr>
                <w:rFonts w:ascii="Times New Roman" w:hAnsi="Times New Roman" w:cs="Times New Roman"/>
              </w:rPr>
              <w:t>страртап</w:t>
            </w:r>
            <w:proofErr w:type="spellEnd"/>
            <w:r>
              <w:rPr>
                <w:rFonts w:ascii="Times New Roman" w:hAnsi="Times New Roman" w:cs="Times New Roman"/>
              </w:rPr>
              <w:t>-проекта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112A689E" w:rsidR="00346CE2" w:rsidRPr="006978B0" w:rsidRDefault="00A216E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Хелснет</w:t>
            </w:r>
            <w:proofErr w:type="spellEnd"/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206BE2ED" w:rsidR="00346CE2" w:rsidRPr="001742D5" w:rsidRDefault="001742D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использовать интернет как основной канал связи с потенциальными покупателями. Предполагается размещения рекламных баннеров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1742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страницах. В добавок, предполагается использование уличной рекламой, обрамленной в рекламные постеры.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77EFD45F" w:rsidR="00346CE2" w:rsidRPr="006978B0" w:rsidRDefault="001742D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Каналами сбыта предполагаются маркетплейсы, </w:t>
            </w:r>
            <w:proofErr w:type="gramStart"/>
            <w:r>
              <w:rPr>
                <w:rFonts w:ascii="Times New Roman" w:hAnsi="Times New Roman" w:cs="Times New Roman"/>
              </w:rPr>
              <w:t>т.к.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они легки в использовании и доступны всем, а также сайты, специализирующиеся в продаже различных типов вендинговых автоматов.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408A14F6" w:rsidR="00346CE2" w:rsidRPr="006978B0" w:rsidRDefault="008856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настоящее время </w:t>
            </w:r>
            <w:r w:rsidR="0085750F">
              <w:rPr>
                <w:rFonts w:ascii="Times New Roman" w:hAnsi="Times New Roman" w:cs="Times New Roman"/>
              </w:rPr>
              <w:t xml:space="preserve">наблюдается </w:t>
            </w:r>
            <w:r w:rsidR="00B21B0D">
              <w:rPr>
                <w:rFonts w:ascii="Times New Roman" w:hAnsi="Times New Roman" w:cs="Times New Roman"/>
              </w:rPr>
              <w:t>высокая загруженность аптек</w:t>
            </w:r>
            <w:r w:rsidR="00944311">
              <w:rPr>
                <w:rFonts w:ascii="Times New Roman" w:hAnsi="Times New Roman" w:cs="Times New Roman"/>
              </w:rPr>
              <w:t>, большое число людей покупает в том числе перевязочные средства.</w:t>
            </w:r>
            <w:r w:rsidR="006F69C0">
              <w:rPr>
                <w:rFonts w:ascii="Times New Roman" w:hAnsi="Times New Roman" w:cs="Times New Roman"/>
              </w:rPr>
              <w:t xml:space="preserve"> Данный аппарат позволит избежать заражения от нездоровых людей, которые часто приходят в аптеки. Также аппарат может работать круглосуточно, в отличие от большинства аптек и гипермаркетов. Решается проблема очередей, так как аппарат позволяет самостоятельно выбрать и оплатить необходимые товары. Это позволит снизить нагрузку на продавцов и фармацевтов. 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4EC53D7F" w:rsidR="00346CE2" w:rsidRPr="006978B0" w:rsidRDefault="00507C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данный автомат поможет </w:t>
            </w:r>
            <w:r w:rsidR="0087698E">
              <w:rPr>
                <w:rFonts w:ascii="Times New Roman" w:hAnsi="Times New Roman" w:cs="Times New Roman"/>
              </w:rPr>
              <w:t>разгрузить</w:t>
            </w:r>
            <w:r>
              <w:rPr>
                <w:rFonts w:ascii="Times New Roman" w:hAnsi="Times New Roman" w:cs="Times New Roman"/>
              </w:rPr>
              <w:t xml:space="preserve"> аптеки и сэкономить время людей.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4CC64DB5" w:rsidR="00346CE2" w:rsidRPr="0087698E" w:rsidRDefault="0087698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Людям, получившим травму, необходимо быстро осуществить обработку раны, но не всегда это возможно, так как аптеки или гипермаркета рядом может и не быть. Автомат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FasrAid</w:t>
            </w:r>
            <w:proofErr w:type="spellEnd"/>
            <w:r w:rsidRPr="00876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из-за своего компактного размера может располагаться практически в любом месте, следовательно, человек быстрее сможет оказать себе первую помощь.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40C10EB" w:rsidR="00346CE2" w:rsidRPr="006978B0" w:rsidRDefault="0087698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сможет в любое время приобрести перевязочные средства, ему не нужно будет тратить время на поиск аптек.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69BC68D8" w14:textId="77777777" w:rsidR="00346CE2" w:rsidRDefault="0089377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расходы проекта: 7.500.000 рублей</w:t>
            </w:r>
          </w:p>
          <w:p w14:paraId="48E896F8" w14:textId="77777777" w:rsidR="0089377B" w:rsidRDefault="0089377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окупаемости: 5 лет</w:t>
            </w:r>
          </w:p>
          <w:p w14:paraId="356AAE99" w14:textId="013A9914" w:rsidR="0089377B" w:rsidRPr="006978B0" w:rsidRDefault="0089377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Точка безубыточности: 125 000 </w:t>
            </w:r>
            <w:r w:rsidR="006F69C0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прибыли ежемесячно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474AE040" w:rsidR="00346CE2" w:rsidRPr="00D13435" w:rsidRDefault="00B0461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Поиск инвесторов</w:t>
            </w:r>
            <w:r w:rsidR="00C00872">
              <w:rPr>
                <w:rFonts w:ascii="Times New Roman" w:hAnsi="Times New Roman" w:cs="Times New Roman"/>
                <w:i/>
                <w:iCs/>
              </w:rPr>
              <w:t xml:space="preserve">; поиск поставщиков, </w:t>
            </w:r>
            <w:r w:rsidR="006F69C0">
              <w:rPr>
                <w:rFonts w:ascii="Times New Roman" w:hAnsi="Times New Roman" w:cs="Times New Roman"/>
                <w:i/>
                <w:iCs/>
              </w:rPr>
              <w:t>поиск специалистов</w:t>
            </w:r>
            <w:r w:rsidR="00C0087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D6B"/>
    <w:multiLevelType w:val="hybridMultilevel"/>
    <w:tmpl w:val="7DEA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B02"/>
    <w:multiLevelType w:val="hybridMultilevel"/>
    <w:tmpl w:val="D40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2716"/>
    <w:multiLevelType w:val="hybridMultilevel"/>
    <w:tmpl w:val="45C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942F1"/>
    <w:multiLevelType w:val="hybridMultilevel"/>
    <w:tmpl w:val="B7C8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20735">
    <w:abstractNumId w:val="2"/>
  </w:num>
  <w:num w:numId="2" w16cid:durableId="1389721089">
    <w:abstractNumId w:val="3"/>
  </w:num>
  <w:num w:numId="3" w16cid:durableId="517503912">
    <w:abstractNumId w:val="0"/>
  </w:num>
  <w:num w:numId="4" w16cid:durableId="174201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C71EC"/>
    <w:rsid w:val="000D797C"/>
    <w:rsid w:val="001742D5"/>
    <w:rsid w:val="00175D87"/>
    <w:rsid w:val="001D698F"/>
    <w:rsid w:val="00247266"/>
    <w:rsid w:val="002A40D3"/>
    <w:rsid w:val="00346CE2"/>
    <w:rsid w:val="003956DA"/>
    <w:rsid w:val="003F1558"/>
    <w:rsid w:val="00426FA2"/>
    <w:rsid w:val="004A43B4"/>
    <w:rsid w:val="004A6D28"/>
    <w:rsid w:val="00507C85"/>
    <w:rsid w:val="00517A90"/>
    <w:rsid w:val="0052632A"/>
    <w:rsid w:val="00542CFC"/>
    <w:rsid w:val="005655E6"/>
    <w:rsid w:val="005B7B45"/>
    <w:rsid w:val="005E4354"/>
    <w:rsid w:val="00652D79"/>
    <w:rsid w:val="006978B0"/>
    <w:rsid w:val="006B45ED"/>
    <w:rsid w:val="006C3DB9"/>
    <w:rsid w:val="006F2F29"/>
    <w:rsid w:val="006F576A"/>
    <w:rsid w:val="006F69C0"/>
    <w:rsid w:val="00704133"/>
    <w:rsid w:val="00722902"/>
    <w:rsid w:val="00726A23"/>
    <w:rsid w:val="007C6990"/>
    <w:rsid w:val="00846959"/>
    <w:rsid w:val="0085750F"/>
    <w:rsid w:val="00870843"/>
    <w:rsid w:val="0087698E"/>
    <w:rsid w:val="00885692"/>
    <w:rsid w:val="0089377B"/>
    <w:rsid w:val="008C63AF"/>
    <w:rsid w:val="008D6280"/>
    <w:rsid w:val="00944311"/>
    <w:rsid w:val="00972C77"/>
    <w:rsid w:val="00976393"/>
    <w:rsid w:val="009A4B9B"/>
    <w:rsid w:val="009D19E7"/>
    <w:rsid w:val="009E287F"/>
    <w:rsid w:val="009F21C2"/>
    <w:rsid w:val="00A216E6"/>
    <w:rsid w:val="00A22412"/>
    <w:rsid w:val="00A80FB7"/>
    <w:rsid w:val="00B04615"/>
    <w:rsid w:val="00B21B0D"/>
    <w:rsid w:val="00B44BE9"/>
    <w:rsid w:val="00B60C74"/>
    <w:rsid w:val="00B8549C"/>
    <w:rsid w:val="00BB0511"/>
    <w:rsid w:val="00C00872"/>
    <w:rsid w:val="00C04F72"/>
    <w:rsid w:val="00C14CA1"/>
    <w:rsid w:val="00C15BF1"/>
    <w:rsid w:val="00C82DD5"/>
    <w:rsid w:val="00C967D3"/>
    <w:rsid w:val="00D13435"/>
    <w:rsid w:val="00D254D1"/>
    <w:rsid w:val="00DA2381"/>
    <w:rsid w:val="00DB5CA1"/>
    <w:rsid w:val="00E40EF4"/>
    <w:rsid w:val="00E44DF2"/>
    <w:rsid w:val="00FB254D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D1"/>
    <w:pPr>
      <w:ind w:left="720"/>
      <w:contextualSpacing/>
    </w:pPr>
  </w:style>
  <w:style w:type="table" w:styleId="a4">
    <w:name w:val="Table Grid"/>
    <w:basedOn w:val="a1"/>
    <w:uiPriority w:val="39"/>
    <w:rsid w:val="000C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Варвара Филатова</cp:lastModifiedBy>
  <cp:revision>4</cp:revision>
  <dcterms:created xsi:type="dcterms:W3CDTF">2023-11-21T08:50:00Z</dcterms:created>
  <dcterms:modified xsi:type="dcterms:W3CDTF">2023-12-03T13:19:00Z</dcterms:modified>
</cp:coreProperties>
</file>