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C8" w:rsidRPr="00351333" w:rsidRDefault="005D3BA8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Ссылка на проект, зарегистрированный</w:t>
      </w:r>
      <w:r w:rsidR="00351333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платформе </w:t>
      </w:r>
      <w:proofErr w:type="spellStart"/>
      <w:r w:rsidR="00351333"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 w:rsidR="0035133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51333" w:rsidRPr="0035133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https://pt.2035.university/project/perenosnaa-gipotermiceskaa-perfuzionnaa-masina-dla-pocek/invite/2e2c37eb-4717-482c-90c6-30ddf1f5a1cb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BE27C8">
        <w:tc>
          <w:tcPr>
            <w:tcW w:w="675" w:type="dxa"/>
          </w:tcPr>
          <w:p w:rsidR="00BE27C8" w:rsidRDefault="00BE27C8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BE27C8" w:rsidRDefault="005D3BA8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Краткая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-проекте</w:t>
            </w:r>
          </w:p>
          <w:p w:rsidR="00BE27C8" w:rsidRDefault="00BE27C8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4530" w:type="dxa"/>
          </w:tcPr>
          <w:p w:rsidR="00BE27C8" w:rsidRDefault="00BE27C8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7C8" w:rsidRDefault="0022173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Перфузионная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машина для почек со сменным контуром</w:t>
            </w:r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BE27C8" w:rsidRPr="00351333" w:rsidRDefault="0035133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Н4- новые приборы и аппаратные комплексы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BE27C8" w:rsidRPr="00E97D5E" w:rsidRDefault="00E97D5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Технология снижения потерь от социально значимых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заболеваний:почечная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недостаточность,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поликистоз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почек и др.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BE27C8" w:rsidRPr="00E97D5E" w:rsidRDefault="0035133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Healthnet</w:t>
            </w:r>
            <w:proofErr w:type="spellEnd"/>
            <w:r w:rsidR="00E97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97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технет</w:t>
            </w:r>
            <w:proofErr w:type="spellEnd"/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BE27C8" w:rsidRPr="00E97D5E" w:rsidRDefault="00E97D5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Технологии моделирования и разработки функциональных материалов с заданными свойствами</w:t>
            </w:r>
          </w:p>
        </w:tc>
      </w:tr>
      <w:tr w:rsidR="00BE27C8">
        <w:tc>
          <w:tcPr>
            <w:tcW w:w="675" w:type="dxa"/>
          </w:tcPr>
          <w:p w:rsidR="00BE27C8" w:rsidRDefault="00BE27C8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BE27C8" w:rsidRDefault="005D3BA8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 xml:space="preserve">Информация о лидере и участниках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стартап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-проекта</w:t>
            </w:r>
          </w:p>
          <w:p w:rsidR="00BE27C8" w:rsidRDefault="00BE27C8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</w:t>
            </w:r>
          </w:p>
        </w:tc>
        <w:tc>
          <w:tcPr>
            <w:tcW w:w="4530" w:type="dxa"/>
          </w:tcPr>
          <w:p w:rsidR="00BE27C8" w:rsidRPr="00351333" w:rsidRDefault="005D3BA8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gramEnd"/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>1348411</w:t>
            </w:r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2562252</w:t>
            </w:r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Преснякова</w:t>
            </w:r>
            <w:proofErr w:type="spellEnd"/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Жанна</w:t>
            </w:r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Олеговна</w:t>
            </w:r>
          </w:p>
          <w:p w:rsidR="00BE27C8" w:rsidRPr="00351333" w:rsidRDefault="005D3BA8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1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89063957409</w:t>
            </w:r>
          </w:p>
          <w:p w:rsidR="00BE27C8" w:rsidRPr="00351333" w:rsidRDefault="005D3BA8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почта</w:t>
            </w:r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zura</w:t>
            </w:r>
            <w:proofErr w:type="spellEnd"/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.505@</w:t>
            </w:r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51333" w:rsidRPr="00351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3513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:rsidR="00BE27C8" w:rsidRDefault="005D3BA8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62"/>
              <w:gridCol w:w="992"/>
              <w:gridCol w:w="2781"/>
            </w:tblGrid>
            <w:tr w:rsidR="00BE27C8" w:rsidTr="00E62A14">
              <w:tc>
                <w:tcPr>
                  <w:tcW w:w="375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62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992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781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BE27C8" w:rsidTr="00E62A14">
              <w:tc>
                <w:tcPr>
                  <w:tcW w:w="375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BE27C8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U1348411</w:t>
                  </w:r>
                </w:p>
              </w:tc>
              <w:tc>
                <w:tcPr>
                  <w:tcW w:w="555" w:type="dxa"/>
                </w:tcPr>
                <w:p w:rsidR="00BE27C8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</w:t>
                  </w:r>
                  <w:proofErr w:type="spellEnd"/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2562252</w:t>
                  </w:r>
                </w:p>
              </w:tc>
              <w:tc>
                <w:tcPr>
                  <w:tcW w:w="1590" w:type="dxa"/>
                </w:tcPr>
                <w:p w:rsidR="00BE27C8" w:rsidRP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Преснякова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Жанна Олеговна</w:t>
                  </w:r>
                </w:p>
              </w:tc>
              <w:tc>
                <w:tcPr>
                  <w:tcW w:w="1215" w:type="dxa"/>
                </w:tcPr>
                <w:p w:rsidR="00BE27C8" w:rsidRP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Автор проекта</w:t>
                  </w:r>
                </w:p>
              </w:tc>
              <w:tc>
                <w:tcPr>
                  <w:tcW w:w="1462" w:type="dxa"/>
                </w:tcPr>
                <w:p w:rsidR="00BE27C8" w:rsidRP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89063957409, </w:t>
                  </w: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zura.505@mail.ru</w:t>
                  </w:r>
                </w:p>
              </w:tc>
              <w:tc>
                <w:tcPr>
                  <w:tcW w:w="992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1" w:type="dxa"/>
                </w:tcPr>
                <w:p w:rsidR="00BE27C8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Победитель программы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,,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УМНИК 2022</w:t>
                  </w: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”</w:t>
                  </w:r>
                  <w:r w:rsidR="00E97D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регионального этапа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к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оординатор</w:t>
                  </w:r>
                  <w:proofErr w:type="spellEnd"/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студенческих обменов в Международном отделе СНО </w:t>
                  </w:r>
                  <w:proofErr w:type="spellStart"/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СамГМУ</w:t>
                  </w:r>
                  <w:proofErr w:type="spellEnd"/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отвечает за направление профессиональных обменов (SCOPE); являетс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призером XVI Всероссийской (90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91</w:t>
                  </w: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-й Итоговой) студенческой научной конференции СНО</w:t>
                  </w:r>
                </w:p>
              </w:tc>
            </w:tr>
            <w:tr w:rsidR="00BE27C8" w:rsidTr="00E62A14">
              <w:tc>
                <w:tcPr>
                  <w:tcW w:w="375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BE27C8" w:rsidRP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Мякотных Максим Николаевич</w:t>
                  </w:r>
                </w:p>
              </w:tc>
              <w:tc>
                <w:tcPr>
                  <w:tcW w:w="1215" w:type="dxa"/>
                </w:tcPr>
                <w:p w:rsidR="00BE27C8" w:rsidRP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Научный руководитель</w:t>
                  </w:r>
                </w:p>
              </w:tc>
              <w:tc>
                <w:tcPr>
                  <w:tcW w:w="1462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E27C8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Кандидат медицинских наук, старший препода</w:t>
                  </w: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ватель кафедры оперативной хирургии и клинической анатомии с курсом медицинских информационных технологий ФГБОУ ВО </w:t>
                  </w:r>
                  <w:proofErr w:type="spellStart"/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СамГМУ</w:t>
                  </w:r>
                  <w:proofErr w:type="spellEnd"/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Минздрава России, Самара</w:t>
                  </w:r>
                </w:p>
              </w:tc>
              <w:tc>
                <w:tcPr>
                  <w:tcW w:w="2781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E27C8" w:rsidTr="00E62A14">
              <w:tc>
                <w:tcPr>
                  <w:tcW w:w="375" w:type="dxa"/>
                </w:tcPr>
                <w:p w:rsidR="00BE27C8" w:rsidRDefault="005D3BA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BE27C8" w:rsidRP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Миронов Алексей Александрович</w:t>
                  </w:r>
                </w:p>
              </w:tc>
              <w:tc>
                <w:tcPr>
                  <w:tcW w:w="1215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62A14" w:rsidRPr="00E62A14" w:rsidRDefault="00E62A14" w:rsidP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Самарского центра трансплантации органов и тканей;</w:t>
                  </w:r>
                </w:p>
                <w:p w:rsidR="00E62A14" w:rsidRPr="00E62A14" w:rsidRDefault="00E62A14" w:rsidP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 самарским хирургическим центром координации органного донорства, Врач-хирург</w:t>
                  </w:r>
                </w:p>
                <w:p w:rsidR="00E62A14" w:rsidRPr="00E62A14" w:rsidRDefault="00E62A14" w:rsidP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Главный внештатный специалист по трансплантологии Минздрава Самарск</w:t>
                  </w: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ой области</w:t>
                  </w:r>
                </w:p>
                <w:p w:rsidR="00BE27C8" w:rsidRDefault="00E62A14" w:rsidP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Кандидат медицинских наук (к.м.н.), доцент</w:t>
                  </w:r>
                </w:p>
              </w:tc>
              <w:tc>
                <w:tcPr>
                  <w:tcW w:w="2781" w:type="dxa"/>
                </w:tcPr>
                <w:p w:rsidR="00BE27C8" w:rsidRDefault="00BE27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2A14" w:rsidTr="00E62A14">
              <w:tc>
                <w:tcPr>
                  <w:tcW w:w="375" w:type="dxa"/>
                </w:tcPr>
                <w:p w:rsid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E62A14" w:rsidRP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Кшнякин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Петр Андреевич</w:t>
                  </w:r>
                </w:p>
              </w:tc>
              <w:tc>
                <w:tcPr>
                  <w:tcW w:w="1590" w:type="dxa"/>
                </w:tcPr>
                <w:p w:rsid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5" w:type="dxa"/>
                </w:tcPr>
                <w:p w:rsid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:rsid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62A14" w:rsidRPr="00E62A14" w:rsidRDefault="00E62A14" w:rsidP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2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отдела проектного менеджмента, производства и инжиниринга</w:t>
                  </w:r>
                </w:p>
              </w:tc>
              <w:tc>
                <w:tcPr>
                  <w:tcW w:w="2781" w:type="dxa"/>
                </w:tcPr>
                <w:p w:rsidR="00E62A14" w:rsidRDefault="00E62A14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E27C8" w:rsidRDefault="00BE27C8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7C8">
        <w:tc>
          <w:tcPr>
            <w:tcW w:w="675" w:type="dxa"/>
          </w:tcPr>
          <w:p w:rsidR="00BE27C8" w:rsidRDefault="00BE27C8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:rsidR="00BE27C8" w:rsidRDefault="005D3BA8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 xml:space="preserve">план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-проекта</w:t>
            </w:r>
          </w:p>
          <w:p w:rsidR="00BE27C8" w:rsidRDefault="00BE2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:rsidR="00BE27C8" w:rsidRPr="0098228E" w:rsidRDefault="0098228E" w:rsidP="009822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Переносная гипотермическая машинная перфузия почки позволит устранить дефицит донорских органов, давая возможность использования трансплантатов от </w:t>
            </w:r>
            <w:proofErr w:type="spellStart"/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асистолических</w:t>
            </w:r>
            <w:proofErr w:type="spellEnd"/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доноров. Результаты применения органосохраняющих методов консервации-аппаратной перфузии почечных трансплантатов - не только сравняются со стандартными донорскими, но и превзойдут их. Переносная </w:t>
            </w:r>
            <w:proofErr w:type="spellStart"/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перфузионная</w:t>
            </w:r>
            <w:proofErr w:type="spellEnd"/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 обеспечит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термостабилизацию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циркуляцию консервирующего раствора через трансплантат, удалит продукты метаболизма и катаболические ферменты, будет доставлять энергетические субстраты трансплантату, защитит микроц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иркуляторное русло от коллапса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увеличит сроки хранения органа и обеспечит транспортировку на дальние расстояния.</w:t>
            </w:r>
          </w:p>
        </w:tc>
      </w:tr>
      <w:tr w:rsidR="00BE27C8">
        <w:trPr>
          <w:trHeight w:val="400"/>
        </w:trPr>
        <w:tc>
          <w:tcPr>
            <w:tcW w:w="675" w:type="dxa"/>
          </w:tcPr>
          <w:p w:rsidR="00BE27C8" w:rsidRDefault="00BE27C8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BE27C8" w:rsidRDefault="005D3BA8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BE27C8">
        <w:trPr>
          <w:trHeight w:val="624"/>
        </w:trPr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:rsidR="00BE27C8" w:rsidRDefault="0098228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функций переносной гипотермической машинной перфузии будет осуществлена посредством аппарата по принципу </w:t>
            </w:r>
            <w:proofErr w:type="spellStart"/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термоизолирующего</w:t>
            </w:r>
            <w:proofErr w:type="spellEnd"/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бокса, содержащего емкость для льда (5,5 л), роликовый насос, встроенный измеритель скорости подачи раствора, термодатчики, датчики давления, мембранный фильтр, компьютерный преобразователь, позволяющий управлять перфузией и графически отображать параметры перфузии, 2 панели управления параметрами перфузии. К аппарату прилагается расходный одноразовый материал в виде собственно </w:t>
            </w:r>
            <w:proofErr w:type="spellStart"/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перфузионных</w:t>
            </w:r>
            <w:proofErr w:type="spellEnd"/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контуров, куда помещается почечный трансплантат, и вспомогательное стерильное оснащение для проведения перфузии.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BE27C8" w:rsidRPr="0098228E" w:rsidRDefault="0098228E" w:rsidP="0098228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Большой недостаток донорских органов, 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отсроченной функции трансплантата при статистической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консервации, высокий риск повышения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креатинина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сыворотке крови после трансплантации, невозможность транспортировать органы на большие расстояния по потребности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98228E" w:rsidRPr="0098228E" w:rsidRDefault="0098228E" w:rsidP="0098228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клиенты:</w:t>
            </w:r>
          </w:p>
          <w:p w:rsidR="0098228E" w:rsidRPr="0098228E" w:rsidRDefault="00E97D5E" w:rsidP="0098228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Центры трансплантации 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 ц</w:t>
            </w:r>
            <w:proofErr w:type="spellStart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ентры</w:t>
            </w:r>
            <w:proofErr w:type="spellEnd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органодонорства</w:t>
            </w:r>
            <w:proofErr w:type="spellEnd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</w:t>
            </w:r>
            <w:proofErr w:type="spellStart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анк</w:t>
            </w:r>
            <w:proofErr w:type="spellEnd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тканей;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</w:t>
            </w:r>
            <w:proofErr w:type="spellStart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истрибьюторы</w:t>
            </w:r>
            <w:proofErr w:type="spellEnd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медицинских изделий -    </w:t>
            </w:r>
            <w:proofErr w:type="spellStart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Русмедимпорт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медтехника МОСКВА, MEDEQ,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Silbermann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различные </w:t>
            </w:r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научные учреждения: ГБУЗ «Самарская областная клиническая больница им. В.Д. </w:t>
            </w:r>
            <w:proofErr w:type="spellStart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Середавина</w:t>
            </w:r>
            <w:proofErr w:type="spellEnd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ГБУЗ СО «Самарская городская клиническая больница №2 им. Н.А. Семашко», НМИЦ трансплантологии и искусственных органов им. </w:t>
            </w:r>
            <w:proofErr w:type="spellStart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В.И. Шумакова Минздрава России, НИИ СП им. И.И. </w:t>
            </w:r>
            <w:proofErr w:type="spellStart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Джанелидзе</w:t>
            </w:r>
            <w:proofErr w:type="spellEnd"/>
            <w:r w:rsidR="0098228E" w:rsidRPr="009822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НИИ СП им. Н.В. Склифосовского, ГБУЗ ГКБ им. С.П. Боткина, ГБУЗ НСО Государственная Новосибирская областная клиническая больница.</w:t>
            </w:r>
          </w:p>
        </w:tc>
      </w:tr>
      <w:tr w:rsidR="00BE27C8">
        <w:trPr>
          <w:trHeight w:val="1519"/>
        </w:trPr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BE27C8" w:rsidRPr="00E97D5E" w:rsidRDefault="00E97D5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основе аппарата для гемодиализа и зарубежных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перфузионных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машин для печени, почек: </w:t>
            </w:r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RM3 (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Waters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Medical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Systems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Birmingham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Alabama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USA)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Kidney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Assist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Organ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Assist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Groningen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The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Netherlands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TransMedics</w:t>
            </w:r>
            <w:proofErr w:type="spellEnd"/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</w:t>
            </w:r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recovery</w:t>
            </w:r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Andover</w:t>
            </w:r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Massachusetts</w:t>
            </w:r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USA</w:t>
            </w:r>
            <w:r w:rsidRPr="00E97D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:rsidR="00BE27C8" w:rsidRDefault="00F5219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Планируется создание и продажа переносной гипотермической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перфузионной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 для почек, проведение должных клинических испытаний на сумму выигранного гранта. Товар сравняется со стоимостью аппарата для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гемодиаза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Главными каналами сбыта будут выступления на конференциях, выставках, через сайты и рекламы/прямое сотрудничество с дистрибьюторами медицинских изделий-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Русмедимпорт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медтехника МОСКВА, MEDEQ,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Silbermann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др., а также сотрудничество напрямую с ведущими медицинскими организациями </w:t>
            </w:r>
            <w:proofErr w:type="gram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и  больницами</w:t>
            </w:r>
            <w:proofErr w:type="gram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отдаленных городах России, благодаря созданию единой базы, где можно будет увидеть регион с повышенным спросом на орган. Потенциальными клиентами будут: центр органов и тканей, центр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органодонорства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банк тканей, ГБУЗ «Самарская областная клиническая больница им. В.Д.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Середавина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ГБУЗ СО «Самарская городская клиническая больница №2 им. Н.А. Семашко», НМИЦ трансплантологии и искусственных органов им.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В.И. Шумакова Минздрава России, НИИ СП им. И.И.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Джанелидзе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НИИ СП им. Н.В. Склифосовского, ГБУЗ ГКБ им. С.П. Боткина, ГБУЗ НСО Государственная Новосибирская областная клиническая больница. Помимо расширения числа доноров, и как следствие, реципиентов, прибыль будет осуществлена за счет сборки машины на основе механизма аппаратов </w:t>
            </w:r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гемодиализа и зарубежной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перфузионной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 для печени из наших отечественных материалов и с использованием российского раствора для перфузии почек, машина будет иметь долгий срок службы, а сменный контур будет приобретаться за небольшую дополнительную плату после каждой перфузии.</w:t>
            </w:r>
          </w:p>
        </w:tc>
      </w:tr>
      <w:tr w:rsidR="00BE27C8" w:rsidRPr="0022173E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:rsidR="00CF3039" w:rsidRDefault="00CF3039" w:rsidP="00CF303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3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настоящий момент аналогов переносной гипотермической </w:t>
            </w:r>
            <w:proofErr w:type="spellStart"/>
            <w:r w:rsidRPr="00CF3039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перфузионной</w:t>
            </w:r>
            <w:proofErr w:type="spellEnd"/>
            <w:r w:rsidRPr="00CF3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 для почек в Российской Федерации не выявлено!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E27C8" w:rsidRPr="00CF3039" w:rsidRDefault="00CF3039" w:rsidP="00CF303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30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RM3 (Waters Medical Systems, Birmingham, Alabama, USA), Kidney Assist (Organ Assist, Groningen, The Netherlands), Trans Medics (Organ recovery Systems, Andover, Massachusetts, USA)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:rsidR="00BE27C8" w:rsidRDefault="005D3B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:rsidR="00BE27C8" w:rsidRDefault="00F5219E" w:rsidP="00CF3039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Ведущие центры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органодонорства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медицинские организации, в том числе и в отдаленных субъектах РФ, испытывают дефицит доноров наряду с большим количеством реципиентов. Благодаря созданию переносной гипотермической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перфузионной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 российского производства с отечественным раствором и ДВУМЯ сменными контурами появится возможность длительного хранения органа (не менее 2,5-3 дней), вместо 12-18 часов (накопление токсичных веществ уже через два часа) и транспортировка органа по необходимости за счет переносного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термоизолирующего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бокса. Также решится проблема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неприживания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почек и ранней смерти больного в связи с почечной недостаточностью и другими серьезными почечными заболеваниями.  Уменьшатся затраты пациента на гемодиализ в течение всей жизни, а также значительно уменьшится количество процедур после проведенной операции (стоимость-14.000-20.000 одна процедура, курс 3 недели, некоторые проходят несколько за год). Уменьшатся затраты пациента на лекарства, сдачу анализов и общая стоимость за лечение в больнице, поскольку постоянно </w:t>
            </w:r>
            <w:proofErr w:type="gram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функционирующий  раствор</w:t>
            </w:r>
            <w:proofErr w:type="gram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удалит все токсичные продукты из трансплантата.</w:t>
            </w:r>
          </w:p>
        </w:tc>
      </w:tr>
      <w:tr w:rsidR="00BE27C8">
        <w:trPr>
          <w:trHeight w:val="1011"/>
        </w:trPr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т.п.)*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CC3C64" w:rsidRPr="00CC3C64" w:rsidRDefault="00F5219E" w:rsidP="00CC3C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Востребован за счет доступной транспортировки на дальние расстояния, улучшает качество и срок хранения самой почки. Длительный срок службы, нет аналогов на российском рынке, выход за рубеж. </w:t>
            </w:r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Ежегодно в России выполняется 1350 трансплантаций органов, в том числе около 1000 трансплантаций почки. Более полное представление о числе пациентов, нуждающихся в трансплантации почки в России, дают данные о числе пациентов, состоящих на программном гемо- и </w:t>
            </w:r>
            <w:proofErr w:type="spellStart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перитонеальном</w:t>
            </w:r>
            <w:proofErr w:type="spellEnd"/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диализе. Уровень обеспеченности населения диализом в России (153,7 на 1 млн чел.) ниже, чем в других развитых странах (в США – 1283,5 на 1 млн, в Европейском союзе – 640,8 на 1 млн, в Японии –2379,4 на 1 млн) и с увеличением числа диализных мест следует прогнозировать увеличение числа потенциальных реципиентов почки. Таким образом, 1300–1350 </w:t>
            </w:r>
            <w:r w:rsidRPr="00F521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трансплантаций органов, ежегодно выполняемых в России, обеспечивает лишь 9,0–10% от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альной потребности населения (</w:t>
            </w:r>
            <w:r w:rsid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Источник: </w:t>
            </w:r>
            <w:r w:rsidR="00CC3C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CC3C64" w:rsidRP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C3C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C3C64" w:rsidRP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потребности населения в трансплантации органов, донорского ресурса и планирование эффективной сети медицинских организаций (центров трансплантации).</w:t>
            </w:r>
          </w:p>
          <w:p w:rsidR="00CC3C64" w:rsidRPr="00CC3C64" w:rsidRDefault="00CC3C64" w:rsidP="00CC3C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Готье</w:t>
            </w:r>
            <w:proofErr w:type="spellEnd"/>
            <w:r w:rsidRP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С.В.1, 3, Хомяков С.М.2,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F5219E" w:rsidRPr="00F521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К 2024 году число медицинских организаций, осуществляющих трансплантацию (пересадку) органов человека, должно увеличиться с 56 до 80 (на 42%), что потребует их дополнительного оснащения 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вития информационных систем.</w:t>
            </w:r>
            <w:r>
              <w:t xml:space="preserve"> </w:t>
            </w:r>
            <w:r>
              <w:rPr>
                <w:lang w:val="ru-RU"/>
              </w:rPr>
              <w:t>(</w:t>
            </w:r>
            <w:r w:rsidRPr="00CC3C64">
              <w:rPr>
                <w:sz w:val="20"/>
                <w:szCs w:val="20"/>
                <w:lang w:val="ru-RU"/>
              </w:rPr>
              <w:t xml:space="preserve">Источник: </w:t>
            </w:r>
            <w:r w:rsidRPr="00CC3C64">
              <w:rPr>
                <w:sz w:val="20"/>
                <w:szCs w:val="20"/>
                <w:lang w:val="en-US"/>
              </w:rPr>
              <w:t>E</w:t>
            </w:r>
            <w:r w:rsidRPr="00CC3C64">
              <w:rPr>
                <w:sz w:val="20"/>
                <w:szCs w:val="20"/>
                <w:lang w:val="ru-RU"/>
              </w:rPr>
              <w:t>-</w:t>
            </w:r>
            <w:r w:rsidRPr="00CC3C64">
              <w:rPr>
                <w:sz w:val="20"/>
                <w:szCs w:val="20"/>
                <w:lang w:val="en-US"/>
              </w:rPr>
              <w:t>library</w:t>
            </w:r>
            <w:r w:rsidRPr="00CC3C64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современном состоянии правового регулирования трансплантации органов и (или) тканей человека как вида высокотехнологичной медицинской помощи в Российской Федерации.</w:t>
            </w:r>
          </w:p>
          <w:p w:rsidR="00CC3C64" w:rsidRDefault="00CC3C64" w:rsidP="00CC3C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2020 г. М.Д. </w:t>
            </w:r>
            <w:proofErr w:type="spellStart"/>
            <w:r w:rsidRPr="00CC3C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). Планируется создание единого регистра, где будет отражаться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/наличие органа в большинстве отдаленных регионов РФ и именно с помощью данной разработки возможна буде быстрая и безопасная транспортировка по необходимости. Данный проект будет сложно повторить из-за необходимости наличия специализированных знаний, проведения клинических испытаний и долгой разработки. </w:t>
            </w:r>
          </w:p>
          <w:p w:rsidR="002941A8" w:rsidRPr="002941A8" w:rsidRDefault="002941A8" w:rsidP="002941A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41A8">
              <w:rPr>
                <w:rFonts w:ascii="Times New Roman" w:eastAsia="Times New Roman" w:hAnsi="Times New Roman" w:cs="Times New Roman"/>
                <w:sz w:val="20"/>
                <w:szCs w:val="20"/>
              </w:rPr>
              <w:t>В России ежегодно производится 4–5 трансплантаций сердца, 5–10 трансплантаций печени, 500–800 трансплантаций почек. Этот показатель в сотни раз ниже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потребности в данных операциях. </w:t>
            </w:r>
          </w:p>
          <w:p w:rsidR="002941A8" w:rsidRPr="002941A8" w:rsidRDefault="002941A8" w:rsidP="002941A8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(помимо эконо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мического) лимитиру</w:t>
            </w:r>
            <w:r w:rsidRPr="0029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ющий фактор числа трансплантации органов – это ограниченный ресурс донорских органов. </w:t>
            </w:r>
          </w:p>
          <w:p w:rsidR="002941A8" w:rsidRPr="002941A8" w:rsidRDefault="002941A8" w:rsidP="002941A8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A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потребности населения в трансплантации органов, донорского ресурса и планирование эффективной сети медицинских организаций (центров трансплантации).</w:t>
            </w:r>
          </w:p>
          <w:p w:rsidR="002941A8" w:rsidRDefault="002941A8" w:rsidP="002941A8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1A8">
              <w:rPr>
                <w:rFonts w:ascii="Times New Roman" w:eastAsia="Times New Roman" w:hAnsi="Times New Roman" w:cs="Times New Roman"/>
                <w:sz w:val="20"/>
                <w:szCs w:val="20"/>
              </w:rPr>
              <w:t>Готье</w:t>
            </w:r>
            <w:proofErr w:type="spellEnd"/>
            <w:r w:rsidRPr="0029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С.В.1, 3, Хомяков С.М.2, 3</w:t>
            </w:r>
          </w:p>
          <w:p w:rsidR="00BE27C8" w:rsidRDefault="00BE27C8" w:rsidP="00CF3039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7C8">
        <w:trPr>
          <w:trHeight w:val="553"/>
        </w:trPr>
        <w:tc>
          <w:tcPr>
            <w:tcW w:w="675" w:type="dxa"/>
            <w:vAlign w:val="center"/>
          </w:tcPr>
          <w:p w:rsidR="00BE27C8" w:rsidRDefault="00BE27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:rsidR="00BE27C8" w:rsidRDefault="005D3B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:rsidR="00BE27C8" w:rsidRDefault="005D3BA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:rsidR="00593AB2" w:rsidRPr="00593AB2" w:rsidRDefault="00593AB2" w:rsidP="00593AB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</w:t>
            </w: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изолирующий</w:t>
            </w:r>
            <w:proofErr w:type="spellEnd"/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бокс, содержащий: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для льда (5,5 л),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роликовый насос,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встроенный измеритель скорости подачи раствора,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термодатчики,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датчики давления,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мембранный фильтр,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преобразователь,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2 панели управления параметрами перфузии;</w:t>
            </w:r>
          </w:p>
          <w:p w:rsidR="00593AB2" w:rsidRPr="00593AB2" w:rsidRDefault="00593AB2" w:rsidP="00593AB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расходный одноразовый материал: </w:t>
            </w:r>
          </w:p>
          <w:p w:rsidR="00593AB2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перфузионные</w:t>
            </w:r>
            <w:proofErr w:type="spellEnd"/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контуры с встроенным портом,</w:t>
            </w:r>
          </w:p>
          <w:p w:rsidR="00BE27C8" w:rsidRPr="00593AB2" w:rsidRDefault="00593AB2" w:rsidP="00593AB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вспомогательное стерильное оснащение.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815" w:type="dxa"/>
          </w:tcPr>
          <w:p w:rsidR="00BE27C8" w:rsidRDefault="005D3BA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:rsidR="002941A8" w:rsidRDefault="00593AB2" w:rsidP="00593A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Первый этап: </w:t>
            </w:r>
            <w:r w:rsidR="002941A8" w:rsidRP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1.Отлаживание механизма работы переносной гипотермической </w:t>
            </w:r>
            <w:proofErr w:type="spellStart"/>
            <w:r w:rsidR="002941A8" w:rsidRP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перфузионной</w:t>
            </w:r>
            <w:proofErr w:type="spellEnd"/>
            <w:r w:rsidR="002941A8" w:rsidRP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машины для почек с помощью специально подобранных деталей</w:t>
            </w:r>
            <w:r w:rsid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деньги полученные от грантов, Акселератора (инженер-конструктор; технолог технопарка </w:t>
            </w:r>
            <w:proofErr w:type="spellStart"/>
            <w:r w:rsid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СамГМУ</w:t>
            </w:r>
            <w:proofErr w:type="spellEnd"/>
            <w:r w:rsid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); 2. </w:t>
            </w:r>
            <w:r w:rsidR="002941A8" w:rsidRP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Подбор оптимального и презентабельного дизайна для привлечения клиентов на рынке продаж</w:t>
            </w:r>
            <w:r w:rsid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(дизайнер </w:t>
            </w:r>
            <w:proofErr w:type="spellStart"/>
            <w:r w:rsid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</w:t>
            </w:r>
            <w:proofErr w:type="spellEnd"/>
            <w:r w:rsid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-центра); </w:t>
            </w:r>
            <w:r w:rsidR="002941A8" w:rsidRP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Конструирование </w:t>
            </w:r>
            <w:proofErr w:type="spellStart"/>
            <w:r w:rsidR="002941A8" w:rsidRP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перфузионной</w:t>
            </w:r>
            <w:proofErr w:type="spellEnd"/>
            <w:r w:rsidR="002941A8" w:rsidRPr="002941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машины и установление сменных контуров с почками</w:t>
            </w:r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(инженер-конструктор; технолог)</w:t>
            </w:r>
          </w:p>
          <w:p w:rsidR="002941A8" w:rsidRDefault="002941A8" w:rsidP="00593A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27C8" w:rsidRPr="00593AB2" w:rsidRDefault="00593AB2" w:rsidP="006A6C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Второй этап: </w:t>
            </w:r>
            <w:r w:rsidR="006A6CC0" w:rsidRP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Проведение клинических испытаний</w:t>
            </w:r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6A6CC0" w:rsidRP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Федеральное государственное бюджетное научное учреждение Центральная клиническая больница Российской академии наук</w:t>
            </w:r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); </w:t>
            </w:r>
            <w:r w:rsidR="006A6CC0" w:rsidRP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Презентация товара через каналы сбыта потенциальным клиентам, заранее заинтересованным в данном медицинском оборудовании</w:t>
            </w:r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(маркетолог </w:t>
            </w:r>
            <w:proofErr w:type="spellStart"/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</w:t>
            </w:r>
            <w:proofErr w:type="spellEnd"/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-центра </w:t>
            </w:r>
            <w:proofErr w:type="spellStart"/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СамГМУ</w:t>
            </w:r>
            <w:proofErr w:type="spellEnd"/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отдел продаж); </w:t>
            </w:r>
            <w:r w:rsidR="006A6CC0" w:rsidRP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Заключение договоров о сотрудничестве с дистрибьюторами медицинских изделий и напрямую с медицинскими организациями</w:t>
            </w:r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(отдел продаж); </w:t>
            </w:r>
            <w:r w:rsidR="006A6CC0" w:rsidRP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Реклама оборудования на сайтах и презентация на зарубежных рынках, экспорт товара в страны с наиболее развитой трансплантологией и др. страны</w:t>
            </w:r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(дизайнер, маркетолог </w:t>
            </w:r>
            <w:proofErr w:type="spellStart"/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</w:t>
            </w:r>
            <w:proofErr w:type="spellEnd"/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центра </w:t>
            </w:r>
            <w:proofErr w:type="spellStart"/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СамГМУ</w:t>
            </w:r>
            <w:proofErr w:type="spellEnd"/>
            <w:r w:rsidR="006A6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отдел продаж).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:rsidR="00BE27C8" w:rsidRDefault="005D3BA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:rsidR="006A6CC0" w:rsidRPr="006A6CC0" w:rsidRDefault="006A6CC0" w:rsidP="006A6C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Прямое </w:t>
            </w:r>
            <w:proofErr w:type="spellStart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импортозамещение</w:t>
            </w:r>
            <w:proofErr w:type="spellEnd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все комплектующие можно в свободном доступе приобрести в России, долгий срок службы </w:t>
            </w:r>
          </w:p>
          <w:p w:rsidR="006A6CC0" w:rsidRPr="006A6CC0" w:rsidRDefault="006A6CC0" w:rsidP="006A6C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Использование общедоступного и широко применяемого в России </w:t>
            </w:r>
            <w:proofErr w:type="spellStart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перфузата</w:t>
            </w:r>
            <w:proofErr w:type="spellEnd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Кустодиола</w:t>
            </w:r>
            <w:proofErr w:type="spellEnd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в отличие от импортных дорогих </w:t>
            </w:r>
            <w:proofErr w:type="spellStart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перфузионных</w:t>
            </w:r>
            <w:proofErr w:type="spellEnd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растворов (Евро-Коллинза);</w:t>
            </w:r>
          </w:p>
          <w:p w:rsidR="006A6CC0" w:rsidRPr="006A6CC0" w:rsidRDefault="006A6CC0" w:rsidP="006A6C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Использование полиэтиленового проводника, а не силиконовой резины, что позволит потерять наименьшее количество липидов, энергетического субстрата клеток почки; </w:t>
            </w:r>
          </w:p>
          <w:p w:rsidR="006A6CC0" w:rsidRPr="006A6CC0" w:rsidRDefault="006A6CC0" w:rsidP="006A6C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4) Наличие двух недорогих сменных контуров и роликовых насоса - возможность перфузии сразу двух почек, а не одной</w:t>
            </w:r>
          </w:p>
          <w:p w:rsidR="006A6CC0" w:rsidRPr="006A6CC0" w:rsidRDefault="006A6CC0" w:rsidP="006A6C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Значительное увеличение приживаемости почек, экономия на проведении гемодиализа (стоимости аппаратов не имеют значительной разницы), экономия на содержании в больнице после операции, применении </w:t>
            </w:r>
            <w:proofErr w:type="spellStart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цитостатиков</w:t>
            </w:r>
            <w:proofErr w:type="spellEnd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сдаче анализов при возникновении отсроченной функции трансплантата;</w:t>
            </w:r>
          </w:p>
          <w:p w:rsidR="00BE27C8" w:rsidRDefault="006A6CC0" w:rsidP="006A6C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6) За счет легкодоступного способа транспортировки возможно будет увеличить количество потенциальных клиентов в других городах России и др. странах (транспортировка по необходимости), также использование органов от маргинальных доноров и после теплой и длительной холодной ишемии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:rsidR="00593AB2" w:rsidRPr="00593AB2" w:rsidRDefault="006A6CC0" w:rsidP="00593AB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Все комплектующие, в том числе и раствор для перфузии, можно купить в России в свободном доступе, в отличие от зарубежных разработок в Америке и Нидерландах, также отечественный раствор в разы дешевле и не требует экспорта. </w:t>
            </w:r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функций переносной гипотермической машинной перфузии будет осуществлена посредством аппарата по принципу </w:t>
            </w:r>
            <w:proofErr w:type="spellStart"/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термоизолирующего</w:t>
            </w:r>
            <w:proofErr w:type="spellEnd"/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бокса, содержащего емкость для льда (5,5 л), роликовый насос, встроенный измеритель скорости подачи раствора, термодатчики, датчики давления, мембранный фильтр, компьютерный преобразователь, позволяющий управлять перфузией и графически отображать параметры перфузии, 2 панели управления параметрами перфузии. К аппарату прилагается расходный одноразовый материал в виде собственно </w:t>
            </w:r>
            <w:proofErr w:type="spellStart"/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перфузионных</w:t>
            </w:r>
            <w:proofErr w:type="spellEnd"/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контуров, куда помещается почечный трансплантат, и вспомогательное стерильное оснащение для проведения перфузии. При помещении почечного трансплантата в аппарат врач устанавливает систолическое давление. Диастолическое давление определяется состоянием сосудистого русла почки. Аппарат имеет фиксированную частоту пульсаций, задаваемую вращением роликового насоса — 30 оборотов ротора насоса в 1 мин. Необходимо особо отметить наличие в </w:t>
            </w:r>
            <w:proofErr w:type="spellStart"/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перфузионном</w:t>
            </w:r>
            <w:proofErr w:type="spellEnd"/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контуре порта, при помощи которого в контур можно вводить лекарственные средства, забирать </w:t>
            </w:r>
            <w:proofErr w:type="spellStart"/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перфузат</w:t>
            </w:r>
            <w:proofErr w:type="spellEnd"/>
            <w:r w:rsidR="00593AB2"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проведение биохимических и других исследований.</w:t>
            </w:r>
          </w:p>
          <w:p w:rsidR="00BE27C8" w:rsidRDefault="00593AB2" w:rsidP="00593AB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Переносная гипотермическая машинная перфузия обеспечит пульсирующую перфузию почки под давлением для оптимальных доноров-30 мм. рт. ст., для субоптимальных-35-40 мм. рт. ст. при температуре 4°С с использованием бесклеточного </w:t>
            </w:r>
            <w:proofErr w:type="spellStart"/>
            <w:r w:rsidRPr="00593AB2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перфузата</w:t>
            </w:r>
            <w:proofErr w:type="spellEnd"/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дальше</w:t>
            </w:r>
          </w:p>
        </w:tc>
        <w:tc>
          <w:tcPr>
            <w:tcW w:w="4530" w:type="dxa"/>
          </w:tcPr>
          <w:p w:rsidR="00BE27C8" w:rsidRDefault="006A6C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инжиниринговым центром </w:t>
            </w:r>
            <w:proofErr w:type="spellStart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СамГМУ</w:t>
            </w:r>
            <w:proofErr w:type="spellEnd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подробно изучен механизм работы гипотермической </w:t>
            </w:r>
            <w:proofErr w:type="spellStart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перфузионной</w:t>
            </w:r>
            <w:proofErr w:type="spellEnd"/>
            <w:r w:rsidRPr="006A6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 для почек. Собраны необходимые данные для дальнейшего продвижения проекта, как на отечественном рынке, так и за рубежом. Ожидается получение гранта для конструирования данного медицинского оборудования и проведения в дальнейшем необходимых клинических испытаний.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BE27C8" w:rsidRPr="006A6CC0" w:rsidRDefault="006A6C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рынку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так как разработка </w:t>
            </w:r>
            <w:r w:rsidR="00F60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направлена на создание технологии для сферы здравоохранения.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:rsidR="00BE27C8" w:rsidRPr="00F60572" w:rsidRDefault="00F6057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Дистрибьюторы медицинского оборудования-</w:t>
            </w:r>
            <w:proofErr w:type="spellStart"/>
            <w:r w:rsidRPr="00F60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Дельрус</w:t>
            </w:r>
            <w:proofErr w:type="spellEnd"/>
            <w:r w:rsidRPr="00F60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60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Русмедимпорт</w:t>
            </w:r>
            <w:proofErr w:type="spellEnd"/>
            <w:r w:rsidRPr="00F60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медтехника МОСКВА, MEDEQ, </w:t>
            </w:r>
            <w:proofErr w:type="spellStart"/>
            <w:r w:rsidRPr="00F60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Silbermann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научные конференции и выставки, контакты, полученные напрямую с Клиниками, больницами, НИИ и т.д., проведение презентаций оборудования, реклама на сайтах медицинского оборудования для крупных компаний 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7A1D25" w:rsidRPr="007A1D25" w:rsidRDefault="007A1D25" w:rsidP="007A1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Ключевыми потребителями продукта являются медицинские учреждения, различные научные учреждения: ГБУЗ «Самарская областная клиническая больница им. В.Д. </w:t>
            </w:r>
            <w:proofErr w:type="spellStart"/>
            <w:r w:rsidRPr="007A1D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Середавина</w:t>
            </w:r>
            <w:proofErr w:type="spellEnd"/>
            <w:r w:rsidRPr="007A1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ГБУЗ СО «Самарская городская клиническая больница №2 им. Н.А. Семашко», НМИЦ трансплантологии и искусственных органов им. </w:t>
            </w:r>
            <w:proofErr w:type="spellStart"/>
            <w:r w:rsidRPr="007A1D2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7A1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В.И. Шумакова Минздрава России, НИИ СП им. И.И. </w:t>
            </w:r>
            <w:proofErr w:type="spellStart"/>
            <w:r w:rsidRPr="007A1D25">
              <w:rPr>
                <w:rFonts w:ascii="Times New Roman" w:eastAsia="Times New Roman" w:hAnsi="Times New Roman" w:cs="Times New Roman"/>
                <w:sz w:val="20"/>
                <w:szCs w:val="20"/>
              </w:rPr>
              <w:t>Джанелидзе</w:t>
            </w:r>
            <w:proofErr w:type="spellEnd"/>
            <w:r w:rsidRPr="007A1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НИИ СП им. Н.В. Склифосовского, ГБУЗ ГКБ им. С.П. Боткина, ГБУЗ НСО Государственная Новосибирская областная клиническая больница. </w:t>
            </w:r>
          </w:p>
          <w:p w:rsidR="00BE27C8" w:rsidRDefault="00BE27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7C8">
        <w:tc>
          <w:tcPr>
            <w:tcW w:w="675" w:type="dxa"/>
          </w:tcPr>
          <w:p w:rsidR="00BE27C8" w:rsidRDefault="00BE27C8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BE27C8" w:rsidRDefault="005D3BA8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Характеристика проблемы, на решение которой направлен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-проект</w:t>
            </w:r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FF3774" w:rsidRPr="00FF3774" w:rsidRDefault="00FF3774" w:rsidP="00FF37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</w:t>
            </w:r>
            <w:r w:rsidR="00F60572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Нехватка</w:t>
            </w:r>
            <w:proofErr w:type="gramEnd"/>
            <w:r w:rsidR="00F60572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донорских органов носит глобальный характер, ежегодно в России выполняется 1350 трансплантаций органов, в том числе около 1000 трансплантаций почки.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Уровень обеспеченности населения диализом в России (153,7 на 1 млн чел.). Таким образом, 1300–1350 трансплантаций органов, ежегодно выполняемых в России, обеспечивает лишь 9,0–10% от реальной потребности населения</w:t>
            </w:r>
            <w:r>
              <w:t xml:space="preserve"> </w:t>
            </w:r>
            <w:r w:rsidRPr="00FF3774">
              <w:rPr>
                <w:lang w:val="ru-RU"/>
              </w:rPr>
              <w:t>(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Источник: E-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library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-Оценка потребности населения в трансплантации органов, донорского ресурса и планирование эффективной сети медицинских организаций (центров трансплантации).</w:t>
            </w:r>
          </w:p>
          <w:p w:rsidR="007A1D25" w:rsidRPr="00F60572" w:rsidRDefault="00FF3774" w:rsidP="00FF377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Готье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С.В.1, 3, Хомяков С.М.2, 3</w:t>
            </w:r>
            <w:proofErr w:type="gram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2024 году число медицинских организаций, осуществляющих трансплантацию (пересадку) органов человека, должно увеличиться с 56 до 80 (на 42%), что потребует их дополнительного оснащения 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вития информационных систем 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(Источник: E-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library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 современном состоянии правового регулирования трансплантации органов и (или) тканей человека как вида высокотехнологичной медицинской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помощи в Российской Федерации 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2020 г. М.Д. 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). </w:t>
            </w:r>
          </w:p>
          <w:p w:rsidR="00FF3774" w:rsidRPr="00FF3774" w:rsidRDefault="00FF3774" w:rsidP="00FF37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2) 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Наличие отсроченной функции трансплантата при статистической 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холодовой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консервации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высокий риск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неприживания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почек и смерти пациентов от почечных заболеваний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F3774" w:rsidRPr="00FF3774" w:rsidRDefault="00FF3774" w:rsidP="00FF377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3) Высокий риск повышения уровня 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креатинина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сыворотке крови после трансплантации-токсических продуктов распада белков для организма;</w:t>
            </w:r>
          </w:p>
          <w:p w:rsidR="00FF3774" w:rsidRPr="00FF3774" w:rsidRDefault="00FF3774" w:rsidP="00FF377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Невозможность транспортировать органы на большие расстояния по потребности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ограничен срок хранения почек-12-18 часов при условии накопления токсичных продуктов в почке уже спустя 2 часа после хранения в мешке с раствором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установке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BE27C8" w:rsidRPr="00FF3774" w:rsidRDefault="00FF3774" w:rsidP="00FF377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5) Большие затраты на проведение гемодиализа после трансплантации почки, анализы и затраты на лекарства-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цитостатики</w:t>
            </w:r>
            <w:proofErr w:type="spellEnd"/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решена)*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-проекта </w:t>
            </w:r>
          </w:p>
        </w:tc>
        <w:tc>
          <w:tcPr>
            <w:tcW w:w="4530" w:type="dxa"/>
          </w:tcPr>
          <w:p w:rsidR="00FF3774" w:rsidRPr="00CF5129" w:rsidRDefault="00FF3774" w:rsidP="00CF512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Из-за увеличения количества пациентов в списках ожидания в сочетании с падением уровня донорства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органов многие центры увелича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объемы закупок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рганов у «маргинальных доноров», невозможных для проведения трансплантации в современных условиях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Сюда входят доноры без сердечного ритма. Некоторые центры показали увеличение числа доноров на 8,6-20% [7,10] за счет использования таких доноров. Поскольку время первичной теплой ишемии у таких доноров больше, оценку жизнеспособности и модуляцию органа проводят путем машинного сохранения почек NHBD перед имплантацией [1,6]. Доказано, что машинная перфузия улучшает функцию трансплантата в случаях маргинальных почек, а также у пациентов с длительным периодом 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холодовой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ишемии [20]. Сообщается о многих исследованиях,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сравнивающих </w:t>
            </w:r>
            <w:proofErr w:type="spellStart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холодовую</w:t>
            </w:r>
            <w:proofErr w:type="spellEnd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консервацию и машинную перфузию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показывающих, как правило, более низкие показатели отсроченной функции трансплантата из-за менее острого тубулярного некроза [1,12,21]. Таким образом, это открывает потенциал для улучшения краткосрочных и долгосрочных показателей успеха. 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Бердик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большом ретроспективном исследовании 60 827 трансплантаций почек заявил, что потребность в диализе на первой неделе была в 2,3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раза выше при использовании </w:t>
            </w:r>
            <w:proofErr w:type="spellStart"/>
            <w:proofErr w:type="gramStart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холодовой</w:t>
            </w:r>
            <w:proofErr w:type="spellEnd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консервации</w:t>
            </w:r>
            <w:proofErr w:type="gramEnd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чем при машинной перфузии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[5]. Пульсирующая перфузия была связана с общим улучшением функции почек на ранних стадиях в этом большом исследовании при корректировке с у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четом известных факторов риска. 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Машинные 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перфузионные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системы обходятся дороже, чем холодильное хранение, однако было показано, что стоимость компенсируется более низкими требованиями к диализу после трансплантации [5]. По оценкам одного исследования, экономия больниц составила 21 604 доллара на одного реципиента, если для со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хранения почек использовался машинная перфузия, а не </w:t>
            </w:r>
            <w:proofErr w:type="spellStart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холодовая</w:t>
            </w:r>
            <w:proofErr w:type="spellEnd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консервация. [13] Возможность машинной перфузии 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позволяет улучшить состояние трансплантата, а также облегчить оценку параметров жизнеспособности для выбора оптимальных трансплантатов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счет подсчета резистивного индекса во </w:t>
            </w:r>
            <w:proofErr w:type="spellStart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избежании</w:t>
            </w:r>
            <w:proofErr w:type="spellEnd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отторжения почки после операции у реципиента, а также смерти пациента после пересадки почки. </w:t>
            </w: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Первоначальная стоимость коммерчески доступных машинных </w:t>
            </w:r>
            <w:proofErr w:type="spellStart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перфузионных</w:t>
            </w:r>
            <w:proofErr w:type="spellEnd"/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 высока, хотя стоимость должна быть компенсирована потенциальной 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экономией 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счёт увеличения количества маргинальных доноров, включая из других субъектов Российской Федерации, планируется из других стран-Турция, Индия (передача органов по необходимости), увеличение пересадки почек после тёплой ишемии и длительной холодной ишемии, уменьшение 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затрат на гемодиализ, хотя сам аппарат по сбору и механизму сравняется с его стоимостью, меньший срок пациента в больнице, меньше сдачи анализов нежели при выявлении отсроченной функции трансплантата и затрат на лекарств-</w:t>
            </w:r>
            <w:proofErr w:type="spellStart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цитостатиков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плюс расходный материал-сменный контур для почки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UK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Machine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perfusion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kidneys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Shlokarth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Balupuri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Strong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Nick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Hoernich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Chris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Snowden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Mostafa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Mohamed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Derek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Manas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John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Kirby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5129"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Talbot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(2001) 14: 103-107; 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Verlag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2001-</w:t>
            </w:r>
            <w:proofErr w:type="spellStart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Pubmed</w:t>
            </w:r>
            <w:proofErr w:type="spellEnd"/>
            <w:r w:rsidR="00CF5129" w:rsidRP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CF51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F3774" w:rsidRPr="00FF3774" w:rsidRDefault="00FF3774" w:rsidP="00FF377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37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стоимости не особо отличается от суммы диализных машин, имеет лёгкую доступность за счёт своей портативности.</w:t>
            </w:r>
          </w:p>
          <w:p w:rsidR="00FF3774" w:rsidRPr="00FF3774" w:rsidRDefault="00FF3774" w:rsidP="00FF377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27C8" w:rsidRPr="007A1D25" w:rsidRDefault="00BE27C8" w:rsidP="00FF377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:rsidR="00BE27C8" w:rsidRPr="005D3BA8" w:rsidRDefault="007810A2" w:rsidP="00DA076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Статистика проведения процедур гемодиализа имеет колоссально высокие значения, несмотря на дорогую стоимость проведения, и представляет собой скрытую группу от общей статистики потенциальных реципиентов-людей, нуждающихся в пересадке почек, на настоящий момент. Многие города РФ имеют органы для дальнейшей трансплантации, но ввиду </w:t>
            </w:r>
            <w:r w:rsidR="00DA0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коротких сроков их хранения и невозможности транспортировки на большие расстояния, увеличивается смертность населения от социально значимых заболеваний. Пациенты вынуждены проходить курс гемодиализа стоимостью от 14.000-20.000 не менее 3-ёх недель и, возможно, не один раз в год, тратя материальные средства на анализы, общее лечение. Нельзя не отметить и высокий риск отторжения почки донора у пациента в связи с накоплением большого количества токсичных веществ при современном способе ее хранения (патологические реакции развиваются уже по истечении двух часов после </w:t>
            </w:r>
            <w:proofErr w:type="spellStart"/>
            <w:r w:rsidR="00DA0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изьятия</w:t>
            </w:r>
            <w:proofErr w:type="spellEnd"/>
            <w:r w:rsidR="00DA0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почки). Впоследствии пациент тратит материальные средства на применение большого количества лекарств-</w:t>
            </w:r>
            <w:proofErr w:type="spellStart"/>
            <w:r w:rsidR="00DA0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цитостатиков</w:t>
            </w:r>
            <w:proofErr w:type="spellEnd"/>
            <w:r w:rsidR="00DA0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сдачу анализов и </w:t>
            </w:r>
            <w:proofErr w:type="spellStart"/>
            <w:r w:rsidR="00DA0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учеличивается</w:t>
            </w:r>
            <w:proofErr w:type="spellEnd"/>
            <w:r w:rsidR="00DA0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общая стоимость лечения в больнице. Нельзя не выделить, что количество необходимых процедур гемодиализа после проведенной операции при хранении почки современным способом увеличивается в 2,3 </w:t>
            </w:r>
            <w:proofErr w:type="gramStart"/>
            <w:r w:rsidR="00DA07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End"/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:rsidR="00BE27C8" w:rsidRDefault="005D3BA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функций переносной гипотермической машинной перфузии будет осуществлена посредством аппарата по принципу </w:t>
            </w:r>
            <w:proofErr w:type="spellStart"/>
            <w:r w:rsidRPr="005D3BA8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термоизолирующего</w:t>
            </w:r>
            <w:proofErr w:type="spellEnd"/>
            <w:r w:rsidRPr="005D3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бокса, содержащего емкость для льда (5,5 л), роликовый насос, встроенный измеритель скорости подачи раствора, термодатчики, датчики давления, мембранный фильтр, компьютерный преобразователь, позволяющий управлять перфузией и графически отображать параметры перфузии, 2 панели управления параметрами перфузии. К аппарату прилагается расходный одноразовый материал в виде собственно </w:t>
            </w:r>
            <w:proofErr w:type="spellStart"/>
            <w:r w:rsidRPr="005D3BA8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перфузионных</w:t>
            </w:r>
            <w:proofErr w:type="spellEnd"/>
            <w:r w:rsidRPr="005D3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контуров, куда помещается почечный трансплантат, и вспомогательное стерильное оснащение для </w:t>
            </w:r>
            <w:r w:rsidRPr="005D3B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проведения перфузии.</w:t>
            </w:r>
          </w:p>
          <w:p w:rsidR="00DA076E" w:rsidRPr="00DA076E" w:rsidRDefault="00DA076E" w:rsidP="00DA076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Переносная гипотермическая машинная перфузия почки позволит устранить дефицит донорских органов, давая возможность использования трансплан</w:t>
            </w:r>
            <w:r w:rsidR="003B1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татов от </w:t>
            </w:r>
            <w:proofErr w:type="spellStart"/>
            <w:r w:rsidR="003B147F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асистолических</w:t>
            </w:r>
            <w:proofErr w:type="spellEnd"/>
            <w:r w:rsidR="003B1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доноров</w:t>
            </w:r>
            <w:r w:rsidR="003B14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ранее невозможных ими быть</w:t>
            </w:r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применения органосохраняющих методов консервации-аппаратной перфузии почечных трансплантатов - не только сравняются со стандартными донорскими, но и превзойдут их. Переносная </w:t>
            </w:r>
            <w:proofErr w:type="spellStart"/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перфузионная</w:t>
            </w:r>
            <w:proofErr w:type="spellEnd"/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 обеспечит </w:t>
            </w:r>
            <w:proofErr w:type="spellStart"/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термостабилизацию</w:t>
            </w:r>
            <w:proofErr w:type="spellEnd"/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>, циркуляцию консервирующего раствора через трансплантат, удалит продукты метаболизма и катаболические ферменты, будет доставлять энергетические субстраты трансплантату, защитит микроциркуляторное русло от коллапса, что обеспечит более длительное хранение органа и транспортировку на дальние расстояния, избавит от отсроченной функции трансплантата.</w:t>
            </w:r>
          </w:p>
          <w:p w:rsidR="00DA076E" w:rsidRPr="00DA076E" w:rsidRDefault="00DA076E" w:rsidP="00DA076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отличие от простой гипотермии донорских органов переносная гипотермическая </w:t>
            </w:r>
            <w:proofErr w:type="spellStart"/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>перфузионная</w:t>
            </w:r>
            <w:proofErr w:type="spellEnd"/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машина обеспечит не только снижение метаболической активности, но и предотвратит образование токсичных продуктов обмена, обеспечит их вымывание из почки и, как следствие, увеличит время хранения органа.</w:t>
            </w:r>
          </w:p>
          <w:p w:rsidR="00DA076E" w:rsidRPr="00DA076E" w:rsidRDefault="00DA076E" w:rsidP="00DA076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фиксированной пульсации - сохранение целостности эндотелия сосудов почки.</w:t>
            </w:r>
          </w:p>
          <w:p w:rsidR="00DA076E" w:rsidRDefault="00DA076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7C8">
        <w:tc>
          <w:tcPr>
            <w:tcW w:w="67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4815" w:type="dxa"/>
          </w:tcPr>
          <w:p w:rsidR="00BE27C8" w:rsidRDefault="005D3B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:rsidR="007810A2" w:rsidRDefault="00CF5129" w:rsidP="007810A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Ключевыми потребителями продукта являются медицинские учреждения, различные научные учреждения: ГБУЗ «Самарская областная клиническая больница им. В.Д. </w:t>
            </w:r>
            <w:proofErr w:type="spellStart"/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Середавина</w:t>
            </w:r>
            <w:proofErr w:type="spellEnd"/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ГБУЗ СО «Самарская городская клиническая больница №2 им. Н.А. Семашко», НМИЦ трансплантологии и искусственных органов им. </w:t>
            </w:r>
            <w:proofErr w:type="spellStart"/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В.И. Шумакова Минздрава России, НИИ СП им. И.И. </w:t>
            </w:r>
            <w:proofErr w:type="spellStart"/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>Джанелидзе</w:t>
            </w:r>
            <w:proofErr w:type="spellEnd"/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НИИ СП им. Н.В. Склифосовского, ГБУЗ ГКБ им. С.П. Боткина, ГБУЗ НСО Государственная Новосибирская областная клиническая больница. </w:t>
            </w:r>
          </w:p>
          <w:p w:rsidR="007810A2" w:rsidRDefault="007810A2" w:rsidP="007810A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Планируется создание единого трансплантационного регистра, что подразумевает передачу органов в другие центры по потребности, транспортировку на большие расстояния в виду того, что в России расширяется программа трансплантации органов, и открываются новые центры, в том числе и в отдалённых регионах (4 года назад в Якутске).</w:t>
            </w:r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10A2" w:rsidRPr="007810A2" w:rsidRDefault="007810A2" w:rsidP="007810A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Планируется расширение сети медицинских организаций, оказывающих медицинскую помощь методом трансплантации (пересадки) органов человека, до 80 в 2024 году. С учетом планируемого увеличения числа трансплантаций (пересадок) органов человека на 100 в год ежегодно предполагается привлечение по 2–3 новых региона Российской Федерации к выполнению работ по донорству и трансплантации (пересадке) органов человека, в </w:t>
            </w:r>
            <w:r w:rsidRPr="00CF5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первую очередь почки.</w:t>
            </w:r>
          </w:p>
          <w:p w:rsidR="00BE27C8" w:rsidRDefault="007810A2" w:rsidP="007810A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Данная разработка подразумевает и продажу сменных легкодоступных и недорогих контуров для почек. </w:t>
            </w:r>
          </w:p>
        </w:tc>
      </w:tr>
    </w:tbl>
    <w:p w:rsidR="00BE27C8" w:rsidRDefault="00BE27C8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7C8" w:rsidRDefault="005D3BA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BE27C8" w:rsidRDefault="00BE27C8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4185"/>
        <w:gridCol w:w="1695"/>
        <w:gridCol w:w="2235"/>
      </w:tblGrid>
      <w:tr w:rsidR="00BE27C8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7C8" w:rsidRDefault="00BE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7C8" w:rsidRPr="003B147F" w:rsidRDefault="003B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Получение гранта от программы Акселератор;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Отлаживание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механизма работы гипотермической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перфузионной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машины с помощью технологов из технопарка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СамГМУ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использованием деталей российского производства, схожих с </w:t>
            </w:r>
            <w:r w:rsidR="005D52E5">
              <w:rPr>
                <w:rFonts w:ascii="Times New Roman" w:eastAsia="Times New Roman" w:hAnsi="Times New Roman" w:cs="Times New Roman"/>
                <w:lang w:val="ru-RU"/>
              </w:rPr>
              <w:t xml:space="preserve">деталями аппарата для гемодиализа; Разработка совместно с дизайнерами из </w:t>
            </w:r>
            <w:proofErr w:type="spellStart"/>
            <w:r w:rsidR="005D52E5">
              <w:rPr>
                <w:rFonts w:ascii="Times New Roman" w:eastAsia="Times New Roman" w:hAnsi="Times New Roman" w:cs="Times New Roman"/>
                <w:lang w:val="ru-RU"/>
              </w:rPr>
              <w:t>стартап</w:t>
            </w:r>
            <w:proofErr w:type="spellEnd"/>
            <w:r w:rsidR="005D52E5">
              <w:rPr>
                <w:rFonts w:ascii="Times New Roman" w:eastAsia="Times New Roman" w:hAnsi="Times New Roman" w:cs="Times New Roman"/>
                <w:lang w:val="ru-RU"/>
              </w:rPr>
              <w:t xml:space="preserve">-центра дизайна переносной гипотермической </w:t>
            </w:r>
            <w:proofErr w:type="spellStart"/>
            <w:r w:rsidR="005D52E5">
              <w:rPr>
                <w:rFonts w:ascii="Times New Roman" w:eastAsia="Times New Roman" w:hAnsi="Times New Roman" w:cs="Times New Roman"/>
                <w:lang w:val="ru-RU"/>
              </w:rPr>
              <w:t>перфузионной</w:t>
            </w:r>
            <w:proofErr w:type="spellEnd"/>
            <w:r w:rsidR="005D52E5">
              <w:rPr>
                <w:rFonts w:ascii="Times New Roman" w:eastAsia="Times New Roman" w:hAnsi="Times New Roman" w:cs="Times New Roman"/>
                <w:lang w:val="ru-RU"/>
              </w:rPr>
              <w:t xml:space="preserve"> машины для почек; Конструирование машины; Проведение клинических испытаний на деньги, полученные от грантов; Продвижение разработки через каналы сбыта или через сотрудничество напрямую: в Самаре, России, мелких больницах и за рубежом при помощи сотрудников из отдела продаж, рекламы на сайтах крупных компаний и постоянного участия с данной разработкой на научно-инновационных выставках и конференциях с целью привлечения клиентской базы.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7C8" w:rsidRDefault="00BE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7C8" w:rsidRDefault="00BE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27C8" w:rsidRDefault="00BE27C8">
      <w:pPr>
        <w:jc w:val="center"/>
        <w:rPr>
          <w:rFonts w:ascii="Times New Roman" w:eastAsia="Times New Roman" w:hAnsi="Times New Roman" w:cs="Times New Roman"/>
        </w:rPr>
      </w:pPr>
    </w:p>
    <w:sectPr w:rsidR="00BE27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61E6"/>
    <w:multiLevelType w:val="hybridMultilevel"/>
    <w:tmpl w:val="A19C4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80FB6"/>
    <w:multiLevelType w:val="hybridMultilevel"/>
    <w:tmpl w:val="B6743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8"/>
    <w:rsid w:val="000C50DD"/>
    <w:rsid w:val="0022173E"/>
    <w:rsid w:val="002941A8"/>
    <w:rsid w:val="00351333"/>
    <w:rsid w:val="003B147F"/>
    <w:rsid w:val="00593AB2"/>
    <w:rsid w:val="005D3BA8"/>
    <w:rsid w:val="005D52E5"/>
    <w:rsid w:val="006A6CC0"/>
    <w:rsid w:val="00777969"/>
    <w:rsid w:val="007810A2"/>
    <w:rsid w:val="007A1D25"/>
    <w:rsid w:val="0098228E"/>
    <w:rsid w:val="00BE27C8"/>
    <w:rsid w:val="00CC3C64"/>
    <w:rsid w:val="00CF3039"/>
    <w:rsid w:val="00CF5129"/>
    <w:rsid w:val="00DA076E"/>
    <w:rsid w:val="00E62A14"/>
    <w:rsid w:val="00E97D5E"/>
    <w:rsid w:val="00F5219E"/>
    <w:rsid w:val="00F60572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FFFD4-FD03-4504-8BD5-91AF4626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59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VAV.NB</cp:lastModifiedBy>
  <cp:revision>2</cp:revision>
  <dcterms:created xsi:type="dcterms:W3CDTF">2023-11-12T05:11:00Z</dcterms:created>
  <dcterms:modified xsi:type="dcterms:W3CDTF">2023-11-12T05:11:00Z</dcterms:modified>
</cp:coreProperties>
</file>