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https://pt.2035.university/project/umnye-brelki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25.12.2024 14:14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Умные брелки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Брелок, который хранит в себе информацию, а также передает ее с помощью Bluetooth технологии.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Нано-, био-, информационные, когнитивные технологии.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TechNet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беспроводной связи и «интернета вещей», Технологии создания новых и портативных источников энергии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- 1124011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- 3938209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Хоменко Сергей Анатольевич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- 89881139192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sergei.xomka@mail.ru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1868245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5286324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Алекберов Денис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(900) 991-54-24, +7 (900) 991-54-24, denisalkbrv1234@gmail.com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1867541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6341877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Фомина Анастасия Алексеевна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(921) 502-65-98, +7 (921) 502-65-98, margo260281@gmail.com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1867653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5025853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Коршакова Анастасия Сергеевна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(951) 759-00-78, +7 (951) 759-00-78, yan.gordeev.03.03@mail.ru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1867711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5284117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Сергеев Владимир Александрович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361-56-46, +7 (911) 361-56-46, sergeyev.vladimir2005@yandex.ru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1915320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6339631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Банный Филипп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(921) 664-69-97, +7 (921) 664-69-97, fillipp51@mail.ru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В настоящее время актуальна задача передачи информации между различными устройствами, в том числе с отсутствием интернет соединения. Цель проекта – разработка “умного” брелка Задачи: Разработка концепции решения; Постановка гипотез проблемы; Поиск ценности; Разработка прототипа; Уточнение экономических показателей. Ожидаемые результаты: Создание устройства, которое позволит передать информацию посредством Bluetooth соединения. Область применения: Хранение и передача информации в удобном пользовании и на большие расстояния. Потребители: Частные пользователи, а также юридические компании.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Брелок среднего размера в виде игральной кости, размером минимум 5см/5см/5см. Основной функционал: Передача и хранение информации с помощью Bluetooth соединения. Технически устройство состоит из 2 частей: Блок хранения информации; USB передатчик, который подключает устройство через Bluetooth соединение. Полный функционал умного брелка доступен через мобильное приложение, где можно зарегистрировать личный кабинет и привязать устройство, а также управлять файлами в приватном режиме.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Облачные сервисы не работают без интернета. Существующие физические устройства хранения информации неудобны, т.к они могут подключатся только к USB портам или нуждаются в переходниках. Облачные сервисы не могут обеспечить должный уровень безопасности информации.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Люди, связанные со сферой IT (как юридические, так и физические лица) вопросы с которыми мы столкнулись: Что они умеют? Наши потенциальные покупатели специализируются в сфере информационных технологий Что они хотят? Они хотят быстрый, безопасный и несложный способ передавать информацию, которая может им пригодится в работе. Чего они боятся? 1.Потерять доступ к своим данным / информации нужной им 2. Переживают за сохранность данных, которые они используют в своей работе Что они любят? Простоту, надежность и скорость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основе самого гаджета мы используем уже существующие устройства, такие как флешка (накопитель памяти) и Bluetooth модуль, с помощью которого будет передаваться информация на устройства Приложение для нашего “ умного брелка” будет создано на основе приложения для фитнес браслетов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Объем памяти – 8/16/32 Гб. Стоимость на рынке: 500/800/1000 руб Приложение для нашего устройства весит примерно 50 МБ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Samsung Kingston Transcend Silicon Power SanDisc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отличии от флешки наш продукт дает пользователю возможность передавать и скачивать информацию как из компьютера так и из телефона. При этом благодаря приложению и особенности хранения информации наш продукта может гарантировать надежность хранения информации которую пользователь загрузил на устройство.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Преимущества и особенности: Оригинальная конструкция ( возможность менять дизайн продукта под “моду времени”) Всегда под рукой (брелок идет и как аксессуар для телефона, который всегда с нами) Возможность передавать и скачивать информацию как из компьютера так и телефона Надежность хранения информации. В наше время потребность в надежном и безопасном использовании и переносе между устройствами информации остается актуальной, поэтому устройство облегчающее эту потребность будет востребовано на рынке.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Объем памяти – 8/16/32 Гб. Стоимость на рынке: от 500 до 1000 руб Связь устанавливается с устройством в пределах 10 метров Начальная скорость передачи данных – 20 Мбайт/сек Заряд батареи в включенном состоянии гаджета хватит на 2 неделе, если устройство будет в состоянии покоя то заряда аккумулятора хватит на месяц без подзарядки Приложение для нашего устройства весит 50 МБ (данные отталкиваются от среднего веса приложения фитнес браслетов)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Продукт производится на территории РФ или Китая и распространяется по одному из сценариев: Уходит в города с развитой IT структурой или ВУЗами, активно обучающих профессиям IT сферы и продается в различных технических магазинах и универмагах, например в FixPrice. Распространяется на таких маркетплейсах, как OZON или Wildberies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Являясь брелком, продукт всегда под рукой, а также его проблематично забыть или потерять Возможность быстро подключить мобильные устройства к компьютеру, не задействуя переходники.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Особенности приложения: *Благодаря ему пользователь может видеть сколько еще свободной памяти осталось в брелке, просмотреть поверхностную информация об самих данных которые скачаны на гаджет (название, время скачивания, формат файла и т.п) и свободно удалить файл если тот уже не нужен *Также, но уже в премиум версии, пользователю будет доступна функция полного открытия файла в приложении и его редактирование. ( как устройство) Для создания нашего гаджета мы будем использовать накопитель памяти как у флешки, USB модуль для дистанционного соединения с компьютерами, усовершенствованный Bluetooth модуль для соединения с мобильными устройствами и карту памяти как у смарт часов (для подключения к приложению)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Сформирован общий вид конечного продукта - брелок в виде игральной кости размера 5x5x5 см (минимум) с разъемом для USB модуля. Сформировано понимание основных внутренних составляющих брелка. Установлены предполагаемые пути сбыта, продвижения и целевая аудитория.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 проект в рамках научно-технического развития соответствует направлению технологии беспроводной связи.Данное направление сферы IT развивается как на районном рынке ( Псковская область) так и по всей стране.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Каналы продвижения: реклама в соцсетях, преимущественно Вконтакте Приложением Вконтакте пользуется большое количество человек, а самое главное оно имеет алгоритм, выставляющий проплаченную рекламу в верх списка, независимо, указал пользователь ее не интересной или нет.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Потенциальные каналы сбыта: юридические лица и компании специализирующиеся в области интернет технологий , а также физические лица работающие в сфере IT, поскольку именно этим пользователи чаще остальных сталкиваются с проблемой/сложностью в переносе и удобстве хранением информации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Стартап-проект решает всю проблему т.к с помощью нашего “умного брелка” можно подключатся как к компьютеру (USB передатчик), так и к телефону/планшету ( через Bluetooth или через приложение), что существенно упростит пользование и передачу информации от пользователя к пользователю.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 продукт позволяет хранить и безопасно передавать данные между различными устройствами, а также, являясь брелком, его намного сложнее забыть или потерять, нежели другие физические накопители.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 продукт благодаря своей конструкции и прямого функционала позволяет пользователю скачивать и передавать информацию как с компьютера так и с телефона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PAM – 8.8 млрд долларов США – мировой рынок flash накопителей TAM – 30.6 млрд руб – рынок flash накопителей в России. SAM – 685.6 млн руб – рынок России при условии, что каждый IT специалист использует наш продукт. SOM – 15.8 млн руб – рынок России при условии, что каждый специалист в области общего управления в IT использует продукт Рентабельность продаж – 54%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Декабрь 2024 – заявка на грант «Студенческий стартап» Февраль 2025 - Выявление ниши на рынке, маркетинговое исследование Март 2025 - Разработка прототипа решения Апрель-май 2025 - Тестирование Май 2025 - Запуск рекламной компании Август 2025 - Разработка MVP Сентябрь 2025 - Первые продажи Ноябрь 2025 - Организация серийного производства (больше 1000 ед.) Декабрь 2025 - Выход на проектную мощность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