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60" w:line="259" w:lineRule="auto"/>
        <w:jc w:val="center"/>
        <w:rPr>
          <w:rFonts w:ascii="Times New Roman" w:cs="Times New Roman" w:eastAsia="Times New Roman" w:hAnsi="Times New Roman"/>
          <w:smallCaps w:val="1"/>
          <w:sz w:val="20"/>
          <w:szCs w:val="20"/>
        </w:rPr>
      </w:pPr>
      <w:r w:rsidDel="00000000" w:rsidR="00000000" w:rsidRPr="00000000">
        <w:rPr>
          <w:rFonts w:ascii="Times New Roman" w:cs="Times New Roman" w:eastAsia="Times New Roman" w:hAnsi="Times New Roman"/>
          <w:smallCaps w:val="1"/>
          <w:color w:val="ff0000"/>
          <w:sz w:val="20"/>
          <w:szCs w:val="20"/>
          <w:rtl w:val="0"/>
        </w:rPr>
        <w:t xml:space="preserve">ФОРМА ПАСПОРТА СТАРТАП-ПРОЕКТА</w:t>
      </w:r>
      <w:r w:rsidDel="00000000" w:rsidR="00000000" w:rsidRPr="00000000">
        <w:rPr>
          <w:rtl w:val="0"/>
        </w:rPr>
      </w:r>
    </w:p>
    <w:p w:rsidR="00000000" w:rsidDel="00000000" w:rsidP="00000000" w:rsidRDefault="00000000" w:rsidRPr="00000000" w14:paraId="00000002">
      <w:pPr>
        <w:widowControl w:val="0"/>
        <w:spacing w:after="160" w:line="259" w:lineRule="auto"/>
        <w:rPr>
          <w:rFonts w:ascii="Times New Roman" w:cs="Times New Roman" w:eastAsia="Times New Roman" w:hAnsi="Times New Roman"/>
          <w:sz w:val="20"/>
          <w:szCs w:val="20"/>
        </w:rPr>
      </w:pPr>
      <w:r w:rsidDel="00000000" w:rsidR="00000000" w:rsidRPr="00000000">
        <w:rPr>
          <w:rtl w:val="0"/>
        </w:rPr>
      </w:r>
    </w:p>
    <w:tbl>
      <w:tblPr>
        <w:tblStyle w:val="Table1"/>
        <w:tblW w:w="9740.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2"/>
        <w:gridCol w:w="6338"/>
        <w:tblGridChange w:id="0">
          <w:tblGrid>
            <w:gridCol w:w="3402"/>
            <w:gridCol w:w="6338"/>
          </w:tblGrid>
        </w:tblGridChange>
      </w:tblGrid>
      <w:tr>
        <w:trPr>
          <w:cantSplit w:val="0"/>
          <w:tblHeader w:val="0"/>
        </w:trPr>
        <w:tc>
          <w:tcPr>
            <w:gridSpan w:val="2"/>
          </w:tcPr>
          <w:p w:rsidR="00000000" w:rsidDel="00000000" w:rsidP="00000000" w:rsidRDefault="00000000" w:rsidRPr="00000000" w14:paraId="00000003">
            <w:pPr>
              <w:widowControl w:val="0"/>
              <w:tabs>
                <w:tab w:val="left" w:leader="none" w:pos="432"/>
              </w:tabs>
              <w:spacing w:line="240" w:lineRule="auto"/>
              <w:ind w:left="72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widowControl w:val="0"/>
              <w:numPr>
                <w:ilvl w:val="0"/>
                <w:numId w:val="4"/>
              </w:numPr>
              <w:tabs>
                <w:tab w:val="left" w:leader="none" w:pos="432"/>
              </w:tabs>
              <w:spacing w:line="240" w:lineRule="auto"/>
              <w:ind w:left="720" w:hanging="36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Общая информация о стартап-проекте</w:t>
            </w:r>
          </w:p>
          <w:p w:rsidR="00000000" w:rsidDel="00000000" w:rsidP="00000000" w:rsidRDefault="00000000" w:rsidRPr="00000000" w14:paraId="00000005">
            <w:pPr>
              <w:widowControl w:val="0"/>
              <w:tabs>
                <w:tab w:val="left" w:leader="none" w:pos="432"/>
              </w:tabs>
              <w:spacing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7">
            <w:pPr>
              <w:tabs>
                <w:tab w:val="left" w:leader="none"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Название стартап-проекта</w:t>
            </w:r>
          </w:p>
        </w:tc>
        <w:tc>
          <w:tcPr/>
          <w:p w:rsidR="00000000" w:rsidDel="00000000" w:rsidP="00000000" w:rsidRDefault="00000000" w:rsidRPr="00000000" w14:paraId="00000008">
            <w:pPr>
              <w:widowControl w:val="0"/>
              <w:tabs>
                <w:tab w:val="left" w:leader="none" w:pos="432"/>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TeaCats</w:t>
            </w:r>
          </w:p>
          <w:p w:rsidR="00000000" w:rsidDel="00000000" w:rsidP="00000000" w:rsidRDefault="00000000" w:rsidRPr="00000000" w14:paraId="00000009">
            <w:pPr>
              <w:widowControl w:val="0"/>
              <w:tabs>
                <w:tab w:val="left" w:leader="none" w:pos="432"/>
              </w:tabs>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A">
            <w:pPr>
              <w:tabs>
                <w:tab w:val="left" w:leader="none"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Команда</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20"/>
                <w:szCs w:val="20"/>
                <w:rtl w:val="0"/>
              </w:rPr>
              <w:t xml:space="preserve">стартап-проекта</w:t>
            </w:r>
          </w:p>
        </w:tc>
        <w:tc>
          <w:tcPr/>
          <w:p w:rsidR="00000000" w:rsidDel="00000000" w:rsidP="00000000" w:rsidRDefault="00000000" w:rsidRPr="00000000" w14:paraId="0000000B">
            <w:pPr>
              <w:widowControl w:val="0"/>
              <w:tabs>
                <w:tab w:val="left" w:leader="none" w:pos="432"/>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Штельц Никита</w:t>
            </w:r>
          </w:p>
          <w:p w:rsidR="00000000" w:rsidDel="00000000" w:rsidP="00000000" w:rsidRDefault="00000000" w:rsidRPr="00000000" w14:paraId="0000000C">
            <w:pPr>
              <w:widowControl w:val="0"/>
              <w:tabs>
                <w:tab w:val="left" w:leader="none" w:pos="432"/>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Шабанова Жанна</w:t>
            </w:r>
          </w:p>
          <w:p w:rsidR="00000000" w:rsidDel="00000000" w:rsidP="00000000" w:rsidRDefault="00000000" w:rsidRPr="00000000" w14:paraId="0000000D">
            <w:pPr>
              <w:widowControl w:val="0"/>
              <w:tabs>
                <w:tab w:val="left" w:leader="none" w:pos="432"/>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Вачугова Марина</w:t>
            </w:r>
          </w:p>
          <w:p w:rsidR="00000000" w:rsidDel="00000000" w:rsidP="00000000" w:rsidRDefault="00000000" w:rsidRPr="00000000" w14:paraId="0000000E">
            <w:pPr>
              <w:widowControl w:val="0"/>
              <w:tabs>
                <w:tab w:val="left" w:leader="none" w:pos="432"/>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Селезнева Анастасия</w:t>
            </w:r>
          </w:p>
        </w:tc>
      </w:tr>
      <w:tr>
        <w:trPr>
          <w:cantSplit w:val="0"/>
          <w:tblHeader w:val="0"/>
        </w:trPr>
        <w:tc>
          <w:tcPr/>
          <w:p w:rsidR="00000000" w:rsidDel="00000000" w:rsidP="00000000" w:rsidRDefault="00000000" w:rsidRPr="00000000" w14:paraId="0000000F">
            <w:pPr>
              <w:tabs>
                <w:tab w:val="left" w:leader="none"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Ссылка на проект в информационной системе Projects</w:t>
            </w:r>
          </w:p>
        </w:tc>
        <w:tc>
          <w:tcPr/>
          <w:p w:rsidR="00000000" w:rsidDel="00000000" w:rsidP="00000000" w:rsidRDefault="00000000" w:rsidRPr="00000000" w14:paraId="00000010">
            <w:pPr>
              <w:widowControl w:val="0"/>
              <w:tabs>
                <w:tab w:val="left" w:leader="none" w:pos="432"/>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p w:rsidR="00000000" w:rsidDel="00000000" w:rsidP="00000000" w:rsidRDefault="00000000" w:rsidRPr="00000000" w14:paraId="00000011">
            <w:pPr>
              <w:tabs>
                <w:tab w:val="left" w:leader="none"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Технологическое направление</w:t>
            </w:r>
          </w:p>
        </w:tc>
        <w:tc>
          <w:tcPr/>
          <w:p w:rsidR="00000000" w:rsidDel="00000000" w:rsidP="00000000" w:rsidRDefault="00000000" w:rsidRPr="00000000" w14:paraId="00000012">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Туризм</w:t>
            </w:r>
          </w:p>
          <w:p w:rsidR="00000000" w:rsidDel="00000000" w:rsidP="00000000" w:rsidRDefault="00000000" w:rsidRPr="00000000" w14:paraId="00000013">
            <w:pPr>
              <w:spacing w:after="160" w:line="259" w:lineRule="auto"/>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4">
            <w:pPr>
              <w:tabs>
                <w:tab w:val="left" w:leader="none"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Описание стартап-проекта</w:t>
            </w:r>
          </w:p>
          <w:p w:rsidR="00000000" w:rsidDel="00000000" w:rsidP="00000000" w:rsidRDefault="00000000" w:rsidRPr="00000000" w14:paraId="00000015">
            <w:pPr>
              <w:tabs>
                <w:tab w:val="left" w:leader="none"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(технология/ услуга/продукт) </w:t>
            </w:r>
          </w:p>
        </w:tc>
        <w:tc>
          <w:tcPr/>
          <w:p w:rsidR="00000000" w:rsidDel="00000000" w:rsidP="00000000" w:rsidRDefault="00000000" w:rsidRPr="00000000" w14:paraId="0000001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Сайт и мобильное приложение, с помощью которых можно найти субсидированные билеты на самолеты, поезда для путешествий по России</w:t>
            </w:r>
          </w:p>
        </w:tc>
      </w:tr>
      <w:tr>
        <w:trPr>
          <w:cantSplit w:val="0"/>
          <w:tblHeader w:val="0"/>
        </w:trPr>
        <w:tc>
          <w:tcPr/>
          <w:p w:rsidR="00000000" w:rsidDel="00000000" w:rsidP="00000000" w:rsidRDefault="00000000" w:rsidRPr="00000000" w14:paraId="00000017">
            <w:pPr>
              <w:tabs>
                <w:tab w:val="left" w:leader="none"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Актуальность стартап-проекта (описание проблемы и решения проблемы)</w:t>
            </w:r>
          </w:p>
        </w:tc>
        <w:tc>
          <w:tcPr/>
          <w:p w:rsidR="00000000" w:rsidDel="00000000" w:rsidP="00000000" w:rsidRDefault="00000000" w:rsidRPr="00000000" w14:paraId="00000018">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Описание проблемы:</w:t>
            </w:r>
            <w:r w:rsidDel="00000000" w:rsidR="00000000" w:rsidRPr="00000000">
              <w:rPr>
                <w:rFonts w:ascii="Times New Roman" w:cs="Times New Roman" w:eastAsia="Times New Roman" w:hAnsi="Times New Roman"/>
                <w:sz w:val="20"/>
                <w:szCs w:val="20"/>
                <w:rtl w:val="0"/>
              </w:rPr>
              <w:t xml:space="preserve"> людям приходится искать информацию о субсидированных билетах на самолет или поезд на разных ресурсах, также в связи с политической обстановкой абсолютное большинство поездок запланировано по России. Почти пятая часть всех путешественников из России - это студенты, которым как раз и доступна возможность покупки субсидированных билетов для, однако найти и приобрести его вовремя - сложно.</w:t>
            </w:r>
          </w:p>
          <w:p w:rsidR="00000000" w:rsidDel="00000000" w:rsidP="00000000" w:rsidRDefault="00000000" w:rsidRPr="00000000" w14:paraId="00000019">
            <w:pPr>
              <w:spacing w:after="160" w:line="259" w:lineRule="auto"/>
              <w:jc w:val="both"/>
              <w:rPr>
                <w:rFonts w:ascii="Roboto" w:cs="Roboto" w:eastAsia="Roboto" w:hAnsi="Roboto"/>
                <w:sz w:val="24"/>
                <w:szCs w:val="24"/>
              </w:rPr>
            </w:pPr>
            <w:r w:rsidDel="00000000" w:rsidR="00000000" w:rsidRPr="00000000">
              <w:rPr>
                <w:rFonts w:ascii="Times New Roman" w:cs="Times New Roman" w:eastAsia="Times New Roman" w:hAnsi="Times New Roman"/>
                <w:b w:val="1"/>
                <w:sz w:val="20"/>
                <w:szCs w:val="20"/>
                <w:rtl w:val="0"/>
              </w:rPr>
              <w:t xml:space="preserve">Решение проблемы:</w:t>
            </w:r>
            <w:r w:rsidDel="00000000" w:rsidR="00000000" w:rsidRPr="00000000">
              <w:rPr>
                <w:rFonts w:ascii="Times New Roman" w:cs="Times New Roman" w:eastAsia="Times New Roman" w:hAnsi="Times New Roman"/>
                <w:sz w:val="20"/>
                <w:szCs w:val="20"/>
                <w:rtl w:val="0"/>
              </w:rPr>
              <w:t xml:space="preserve"> создание сайта и мобильного приложения, в котором вся информация о субсидированных билетах на самолет или поезд будет собрана в одном месте</w:t>
            </w:r>
            <w:r w:rsidDel="00000000" w:rsidR="00000000" w:rsidRPr="00000000">
              <w:rPr>
                <w:rtl w:val="0"/>
              </w:rPr>
            </w:r>
          </w:p>
          <w:p w:rsidR="00000000" w:rsidDel="00000000" w:rsidP="00000000" w:rsidRDefault="00000000" w:rsidRPr="00000000" w14:paraId="0000001A">
            <w:pPr>
              <w:spacing w:after="160" w:line="259" w:lineRule="auto"/>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B">
            <w:pPr>
              <w:tabs>
                <w:tab w:val="left" w:leader="none"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Технологические риски</w:t>
            </w:r>
          </w:p>
        </w:tc>
        <w:tc>
          <w:tcPr/>
          <w:p w:rsidR="00000000" w:rsidDel="00000000" w:rsidP="00000000" w:rsidRDefault="00000000" w:rsidRPr="00000000" w14:paraId="0000001C">
            <w:pPr>
              <w:widowControl w:val="0"/>
              <w:numPr>
                <w:ilvl w:val="0"/>
                <w:numId w:val="2"/>
              </w:numPr>
              <w:tabs>
                <w:tab w:val="left" w:leader="none" w:pos="432"/>
              </w:tabs>
              <w:spacing w:line="240" w:lineRule="auto"/>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Технические неполадки на сервере </w:t>
            </w:r>
          </w:p>
          <w:p w:rsidR="00000000" w:rsidDel="00000000" w:rsidP="00000000" w:rsidRDefault="00000000" w:rsidRPr="00000000" w14:paraId="0000001D">
            <w:pPr>
              <w:widowControl w:val="0"/>
              <w:numPr>
                <w:ilvl w:val="0"/>
                <w:numId w:val="2"/>
              </w:numPr>
              <w:tabs>
                <w:tab w:val="left" w:leader="none" w:pos="432"/>
              </w:tabs>
              <w:spacing w:line="240" w:lineRule="auto"/>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Срыв сроков, и как следствие, задержка запуска приложения, сайта и потери в бюджете</w:t>
            </w:r>
            <w:r w:rsidDel="00000000" w:rsidR="00000000" w:rsidRPr="00000000">
              <w:rPr>
                <w:rtl w:val="0"/>
              </w:rPr>
            </w:r>
          </w:p>
          <w:p w:rsidR="00000000" w:rsidDel="00000000" w:rsidP="00000000" w:rsidRDefault="00000000" w:rsidRPr="00000000" w14:paraId="0000001E">
            <w:pPr>
              <w:widowControl w:val="0"/>
              <w:tabs>
                <w:tab w:val="left" w:leader="none" w:pos="432"/>
              </w:tabs>
              <w:spacing w:line="240" w:lineRule="auto"/>
              <w:ind w:firstLine="360"/>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F">
            <w:pPr>
              <w:tabs>
                <w:tab w:val="left" w:leader="none"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Потенциальные заказчики </w:t>
            </w:r>
          </w:p>
        </w:tc>
        <w:tc>
          <w:tcPr/>
          <w:p w:rsidR="00000000" w:rsidDel="00000000" w:rsidP="00000000" w:rsidRDefault="00000000" w:rsidRPr="00000000" w14:paraId="00000020">
            <w:pPr>
              <w:widowControl w:val="0"/>
              <w:tabs>
                <w:tab w:val="left" w:leader="none" w:pos="432"/>
              </w:tabs>
              <w:spacing w:line="240"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Государство, перевозчики</w:t>
            </w:r>
          </w:p>
          <w:p w:rsidR="00000000" w:rsidDel="00000000" w:rsidP="00000000" w:rsidRDefault="00000000" w:rsidRPr="00000000" w14:paraId="00000021">
            <w:pPr>
              <w:widowControl w:val="0"/>
              <w:tabs>
                <w:tab w:val="left" w:leader="none" w:pos="432"/>
              </w:tabs>
              <w:spacing w:line="240" w:lineRule="auto"/>
              <w:ind w:firstLine="360"/>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2">
            <w:pPr>
              <w:tabs>
                <w:tab w:val="left" w:leader="none"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Бизнес-модель стартап-проекта</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sz w:val="20"/>
                <w:szCs w:val="20"/>
                <w:rtl w:val="0"/>
              </w:rPr>
              <w:t xml:space="preserve"> (как вы планируете зарабатывать посредствам реализации данного проекта) </w:t>
            </w:r>
          </w:p>
        </w:tc>
        <w:tc>
          <w:tcPr/>
          <w:p w:rsidR="00000000" w:rsidDel="00000000" w:rsidP="00000000" w:rsidRDefault="00000000" w:rsidRPr="00000000" w14:paraId="00000023">
            <w:pPr>
              <w:widowControl w:val="0"/>
              <w:tabs>
                <w:tab w:val="left" w:leader="none" w:pos="432"/>
              </w:tabs>
              <w:spacing w:line="240"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Получение процента от перевозчиков  с размещения на нашей платформе/сайте ссылок на официальный источник для покупки билета</w:t>
            </w:r>
          </w:p>
        </w:tc>
      </w:tr>
      <w:tr>
        <w:trPr>
          <w:cantSplit w:val="0"/>
          <w:tblHeader w:val="0"/>
        </w:trPr>
        <w:tc>
          <w:tcPr/>
          <w:p w:rsidR="00000000" w:rsidDel="00000000" w:rsidP="00000000" w:rsidRDefault="00000000" w:rsidRPr="00000000" w14:paraId="00000024">
            <w:pPr>
              <w:tabs>
                <w:tab w:val="left" w:leader="none"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Обоснование соответствия идеи технологическому направлению (описание основных технологических параметров)</w:t>
            </w:r>
          </w:p>
        </w:tc>
        <w:tc>
          <w:tcPr/>
          <w:p w:rsidR="00000000" w:rsidDel="00000000" w:rsidP="00000000" w:rsidRDefault="00000000" w:rsidRPr="00000000" w14:paraId="00000025">
            <w:pPr>
              <w:widowControl w:val="0"/>
              <w:numPr>
                <w:ilvl w:val="0"/>
                <w:numId w:val="3"/>
              </w:numPr>
              <w:tabs>
                <w:tab w:val="left" w:leader="none" w:pos="432"/>
              </w:tabs>
              <w:spacing w:line="240" w:lineRule="auto"/>
              <w:ind w:left="720" w:hanging="360"/>
              <w:jc w:val="both"/>
              <w:rPr>
                <w:rFonts w:ascii="Times New Roman" w:cs="Times New Roman" w:eastAsia="Times New Roman" w:hAnsi="Times New Roman"/>
                <w:sz w:val="20"/>
                <w:szCs w:val="20"/>
              </w:rPr>
            </w:pPr>
            <w:r w:rsidDel="00000000" w:rsidR="00000000" w:rsidRPr="00000000">
              <w:rPr>
                <w:rtl w:val="0"/>
              </w:rPr>
            </w:r>
          </w:p>
        </w:tc>
      </w:tr>
      <w:tr>
        <w:trPr>
          <w:cantSplit w:val="0"/>
          <w:trHeight w:val="553" w:hRule="atLeast"/>
          <w:tblHeader w:val="0"/>
        </w:trPr>
        <w:tc>
          <w:tcPr>
            <w:gridSpan w:val="2"/>
          </w:tcPr>
          <w:p w:rsidR="00000000" w:rsidDel="00000000" w:rsidP="00000000" w:rsidRDefault="00000000" w:rsidRPr="00000000" w14:paraId="00000026">
            <w:pPr>
              <w:widowControl w:val="0"/>
              <w:spacing w:before="278" w:line="240" w:lineRule="auto"/>
              <w:ind w:left="360" w:firstLine="518"/>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Порядок и структура финансирования </w:t>
            </w:r>
          </w:p>
        </w:tc>
      </w:tr>
      <w:tr>
        <w:trPr>
          <w:cantSplit w:val="0"/>
          <w:tblHeader w:val="0"/>
        </w:trPr>
        <w:tc>
          <w:tcPr/>
          <w:p w:rsidR="00000000" w:rsidDel="00000000" w:rsidP="00000000" w:rsidRDefault="00000000" w:rsidRPr="00000000" w14:paraId="00000028">
            <w:pPr>
              <w:tabs>
                <w:tab w:val="left" w:leader="none"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Объем финансового обеспечения</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tl w:val="0"/>
              </w:rPr>
            </w:r>
          </w:p>
        </w:tc>
        <w:tc>
          <w:tcPr/>
          <w:p w:rsidR="00000000" w:rsidDel="00000000" w:rsidP="00000000" w:rsidRDefault="00000000" w:rsidRPr="00000000" w14:paraId="00000029">
            <w:pPr>
              <w:spacing w:after="160" w:line="259" w:lineRule="auto"/>
              <w:ind w:firstLine="36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spacing w:after="160" w:line="259"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6344250 рублей </w:t>
            </w:r>
          </w:p>
        </w:tc>
      </w:tr>
      <w:tr>
        <w:trPr>
          <w:cantSplit w:val="0"/>
          <w:trHeight w:val="415" w:hRule="atLeast"/>
          <w:tblHeader w:val="0"/>
        </w:trPr>
        <w:tc>
          <w:tcPr/>
          <w:p w:rsidR="00000000" w:rsidDel="00000000" w:rsidP="00000000" w:rsidRDefault="00000000" w:rsidRPr="00000000" w14:paraId="0000002B">
            <w:pPr>
              <w:tabs>
                <w:tab w:val="left" w:leader="none"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Предполагаемые источники финансирования</w:t>
            </w:r>
          </w:p>
        </w:tc>
        <w:tc>
          <w:tcPr/>
          <w:p w:rsidR="00000000" w:rsidDel="00000000" w:rsidP="00000000" w:rsidRDefault="00000000" w:rsidRPr="00000000" w14:paraId="0000002C">
            <w:pPr>
              <w:numPr>
                <w:ilvl w:val="0"/>
                <w:numId w:val="1"/>
              </w:numPr>
              <w:spacing w:after="0" w:afterAutospacing="0" w:line="259" w:lineRule="auto"/>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Гранты</w:t>
            </w:r>
          </w:p>
          <w:p w:rsidR="00000000" w:rsidDel="00000000" w:rsidP="00000000" w:rsidRDefault="00000000" w:rsidRPr="00000000" w14:paraId="0000002D">
            <w:pPr>
              <w:numPr>
                <w:ilvl w:val="0"/>
                <w:numId w:val="1"/>
              </w:numPr>
              <w:spacing w:after="160" w:line="259" w:lineRule="auto"/>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Инвестиционные Фонды </w:t>
            </w:r>
          </w:p>
        </w:tc>
      </w:tr>
      <w:tr>
        <w:trPr>
          <w:cantSplit w:val="0"/>
          <w:trHeight w:val="690" w:hRule="atLeast"/>
          <w:tblHeader w:val="0"/>
        </w:trPr>
        <w:tc>
          <w:tcPr/>
          <w:p w:rsidR="00000000" w:rsidDel="00000000" w:rsidP="00000000" w:rsidRDefault="00000000" w:rsidRPr="00000000" w14:paraId="0000002E">
            <w:pPr>
              <w:tabs>
                <w:tab w:val="left" w:leader="none" w:pos="414"/>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Оценка потенциала «рынка» и рентабельности проекта</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tl w:val="0"/>
              </w:rPr>
            </w:r>
          </w:p>
        </w:tc>
        <w:tc>
          <w:tcPr/>
          <w:p w:rsidR="00000000" w:rsidDel="00000000" w:rsidP="00000000" w:rsidRDefault="00000000" w:rsidRPr="00000000" w14:paraId="0000002F">
            <w:pPr>
              <w:spacing w:after="160" w:line="259"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Внутренний</w:t>
            </w:r>
            <w:r w:rsidDel="00000000" w:rsidR="00000000" w:rsidRPr="00000000">
              <w:rPr>
                <w:rFonts w:ascii="Times New Roman" w:cs="Times New Roman" w:eastAsia="Times New Roman" w:hAnsi="Times New Roman"/>
                <w:sz w:val="20"/>
                <w:szCs w:val="20"/>
                <w:highlight w:val="white"/>
                <w:rtl w:val="0"/>
              </w:rPr>
              <w:t xml:space="preserve"> туризм в </w:t>
            </w:r>
            <w:r w:rsidDel="00000000" w:rsidR="00000000" w:rsidRPr="00000000">
              <w:rPr>
                <w:rFonts w:ascii="Times New Roman" w:cs="Times New Roman" w:eastAsia="Times New Roman" w:hAnsi="Times New Roman"/>
                <w:sz w:val="20"/>
                <w:szCs w:val="20"/>
                <w:highlight w:val="white"/>
                <w:rtl w:val="0"/>
              </w:rPr>
              <w:t xml:space="preserve">России</w:t>
            </w:r>
            <w:r w:rsidDel="00000000" w:rsidR="00000000" w:rsidRPr="00000000">
              <w:rPr>
                <w:rFonts w:ascii="Times New Roman" w:cs="Times New Roman" w:eastAsia="Times New Roman" w:hAnsi="Times New Roman"/>
                <w:sz w:val="20"/>
                <w:szCs w:val="20"/>
                <w:highlight w:val="white"/>
                <w:rtl w:val="0"/>
              </w:rPr>
              <w:t xml:space="preserve"> по итогам </w:t>
            </w:r>
            <w:r w:rsidDel="00000000" w:rsidR="00000000" w:rsidRPr="00000000">
              <w:rPr>
                <w:rFonts w:ascii="Times New Roman" w:cs="Times New Roman" w:eastAsia="Times New Roman" w:hAnsi="Times New Roman"/>
                <w:sz w:val="20"/>
                <w:szCs w:val="20"/>
                <w:highlight w:val="white"/>
                <w:rtl w:val="0"/>
              </w:rPr>
              <w:t xml:space="preserve">2022</w:t>
            </w:r>
            <w:r w:rsidDel="00000000" w:rsidR="00000000" w:rsidRPr="00000000">
              <w:rPr>
                <w:rFonts w:ascii="Times New Roman" w:cs="Times New Roman" w:eastAsia="Times New Roman" w:hAnsi="Times New Roman"/>
                <w:sz w:val="20"/>
                <w:szCs w:val="20"/>
                <w:highlight w:val="white"/>
                <w:rtl w:val="0"/>
              </w:rPr>
              <w:t xml:space="preserve"> года составил 68,5 млн человек, а в 2023 году может вырасти на 5% - до 72 млн человек. </w:t>
            </w:r>
          </w:p>
          <w:p w:rsidR="00000000" w:rsidDel="00000000" w:rsidP="00000000" w:rsidRDefault="00000000" w:rsidRPr="00000000" w14:paraId="00000030">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феврале 2023 года премьер-министр </w:t>
            </w:r>
            <w:hyperlink r:id="rId8">
              <w:r w:rsidDel="00000000" w:rsidR="00000000" w:rsidRPr="00000000">
                <w:rPr>
                  <w:rFonts w:ascii="Times New Roman" w:cs="Times New Roman" w:eastAsia="Times New Roman" w:hAnsi="Times New Roman"/>
                  <w:sz w:val="20"/>
                  <w:szCs w:val="20"/>
                  <w:rtl w:val="0"/>
                </w:rPr>
                <w:t xml:space="preserve">Михаил Мишустин</w:t>
              </w:r>
            </w:hyperlink>
            <w:r w:rsidDel="00000000" w:rsidR="00000000" w:rsidRPr="00000000">
              <w:rPr>
                <w:rFonts w:ascii="Times New Roman" w:cs="Times New Roman" w:eastAsia="Times New Roman" w:hAnsi="Times New Roman"/>
                <w:sz w:val="20"/>
                <w:szCs w:val="20"/>
                <w:rtl w:val="0"/>
              </w:rPr>
              <w:t xml:space="preserve"> подписал распоряжения, которым выделил более 11,4 млрд </w:t>
            </w:r>
            <w:hyperlink r:id="rId9">
              <w:r w:rsidDel="00000000" w:rsidR="00000000" w:rsidRPr="00000000">
                <w:rPr>
                  <w:rFonts w:ascii="Times New Roman" w:cs="Times New Roman" w:eastAsia="Times New Roman" w:hAnsi="Times New Roman"/>
                  <w:sz w:val="20"/>
                  <w:szCs w:val="20"/>
                  <w:rtl w:val="0"/>
                </w:rPr>
                <w:t xml:space="preserve">рублей</w:t>
              </w:r>
            </w:hyperlink>
            <w:r w:rsidDel="00000000" w:rsidR="00000000" w:rsidRPr="00000000">
              <w:rPr>
                <w:rFonts w:ascii="Times New Roman" w:cs="Times New Roman" w:eastAsia="Times New Roman" w:hAnsi="Times New Roman"/>
                <w:sz w:val="20"/>
                <w:szCs w:val="20"/>
                <w:rtl w:val="0"/>
              </w:rPr>
              <w:t xml:space="preserve"> на поддержку и развитие туризма в регионах РФ.</w:t>
            </w:r>
            <w:r w:rsidDel="00000000" w:rsidR="00000000" w:rsidRPr="00000000">
              <w:rPr>
                <w:rtl w:val="0"/>
              </w:rPr>
            </w:r>
          </w:p>
          <w:p w:rsidR="00000000" w:rsidDel="00000000" w:rsidP="00000000" w:rsidRDefault="00000000" w:rsidRPr="00000000" w14:paraId="00000031">
            <w:pPr>
              <w:spacing w:after="160" w:line="259"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После закрытия воздушного пространства зарубежными странами для самолетов российских авиакомпаний, правительством были приняты постановления для предоставления субсидий из федерального бюджета российским авиакомпаниям. Общая сумма государственной поддержки составила 174,2 млрд. рублей. На компенсацию потерь в доход, возникающих в результате государственного регулирования тарифов на перевозку пассажиров в поездах дальнего следования из федерального бюджета выделено 16,83 млрд. рублей</w:t>
            </w:r>
          </w:p>
          <w:p w:rsidR="00000000" w:rsidDel="00000000" w:rsidP="00000000" w:rsidRDefault="00000000" w:rsidRPr="00000000" w14:paraId="00000032">
            <w:pPr>
              <w:spacing w:after="160" w:line="259"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Вывод: </w:t>
            </w:r>
            <w:r w:rsidDel="00000000" w:rsidR="00000000" w:rsidRPr="00000000">
              <w:rPr>
                <w:rFonts w:ascii="Times New Roman" w:cs="Times New Roman" w:eastAsia="Times New Roman" w:hAnsi="Times New Roman"/>
                <w:sz w:val="20"/>
                <w:szCs w:val="20"/>
                <w:highlight w:val="white"/>
                <w:rtl w:val="0"/>
              </w:rPr>
              <w:t xml:space="preserve">внутренний туризм в России продолжает демонстрировать активный рост, который стимулируется поддержкой со стороны правительства. Государственная программа субсидированных билетов значительно снижает стоимость перелета для туриста, что позитивно влияет на общий объем рынка пассажирских авиаперевозок.</w:t>
            </w:r>
          </w:p>
        </w:tc>
      </w:tr>
    </w:tbl>
    <w:p w:rsidR="00000000" w:rsidDel="00000000" w:rsidP="00000000" w:rsidRDefault="00000000" w:rsidRPr="00000000" w14:paraId="00000033">
      <w:pPr>
        <w:spacing w:after="160" w:line="259" w:lineRule="auto"/>
        <w:rPr>
          <w:rFonts w:ascii="Times New Roman" w:cs="Times New Roman" w:eastAsia="Times New Roman" w:hAnsi="Times New Roman"/>
          <w:sz w:val="20"/>
          <w:szCs w:val="20"/>
        </w:rPr>
      </w:pPr>
      <w:r w:rsidDel="00000000" w:rsidR="00000000" w:rsidRPr="00000000">
        <w:rPr>
          <w:rtl w:val="0"/>
        </w:rPr>
      </w:r>
    </w:p>
    <w:tbl>
      <w:tblPr>
        <w:tblStyle w:val="Table2"/>
        <w:tblW w:w="9740.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0"/>
        <w:tblGridChange w:id="0">
          <w:tblGrid>
            <w:gridCol w:w="9740"/>
          </w:tblGrid>
        </w:tblGridChange>
      </w:tblGrid>
      <w:tr>
        <w:trPr>
          <w:cantSplit w:val="0"/>
          <w:tblHeader w:val="0"/>
        </w:trPr>
        <w:tc>
          <w:tcPr/>
          <w:p w:rsidR="00000000" w:rsidDel="00000000" w:rsidP="00000000" w:rsidRDefault="00000000" w:rsidRPr="00000000" w14:paraId="00000034">
            <w:pPr>
              <w:numPr>
                <w:ilvl w:val="0"/>
                <w:numId w:val="5"/>
              </w:numPr>
              <w:spacing w:after="200" w:before="240" w:lineRule="auto"/>
              <w:ind w:left="1080" w:hanging="36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Календарный план стартап-проекта</w:t>
            </w:r>
          </w:p>
          <w:tbl>
            <w:tblPr>
              <w:tblStyle w:val="Table3"/>
              <w:tblW w:w="8170.0" w:type="dxa"/>
              <w:jc w:val="left"/>
              <w:tblInd w:w="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5"/>
              <w:gridCol w:w="1701"/>
              <w:gridCol w:w="3544"/>
              <w:tblGridChange w:id="0">
                <w:tblGrid>
                  <w:gridCol w:w="2925"/>
                  <w:gridCol w:w="1701"/>
                  <w:gridCol w:w="3544"/>
                </w:tblGrid>
              </w:tblGridChange>
            </w:tblGrid>
            <w:tr>
              <w:trPr>
                <w:cantSplit w:val="1"/>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Название этапа календарного плана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Длительность этапа, мес</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Стоимость, руб.</w:t>
                  </w:r>
                </w:p>
              </w:tc>
            </w:tr>
            <w:tr>
              <w:trPr>
                <w:cantSplit w:val="1"/>
                <w:trHeight w:val="77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widowControl w:val="0"/>
                    <w:spacing w:after="160" w:line="259"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Набор команды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widowControl w:val="0"/>
                    <w:spacing w:after="160" w:line="259" w:lineRule="auto"/>
                    <w:rPr>
                      <w:sz w:val="20"/>
                      <w:szCs w:val="20"/>
                    </w:rPr>
                  </w:pPr>
                  <w:r w:rsidDel="00000000" w:rsidR="00000000" w:rsidRPr="00000000">
                    <w:rPr>
                      <w:sz w:val="20"/>
                      <w:szCs w:val="20"/>
                      <w:rtl w:val="0"/>
                    </w:rPr>
                    <w:t xml:space="preserve">60000</w:t>
                  </w:r>
                </w:p>
              </w:tc>
            </w:tr>
            <w:tr>
              <w:trPr>
                <w:cantSplit w:val="1"/>
                <w:trHeight w:val="77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widowControl w:val="0"/>
                    <w:spacing w:after="160" w:line="259"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Распределение полномочий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widowControl w:val="0"/>
                    <w:spacing w:after="160" w:line="259" w:lineRule="auto"/>
                    <w:rPr>
                      <w:sz w:val="20"/>
                      <w:szCs w:val="20"/>
                    </w:rPr>
                  </w:pPr>
                  <w:r w:rsidDel="00000000" w:rsidR="00000000" w:rsidRPr="00000000">
                    <w:rPr>
                      <w:sz w:val="20"/>
                      <w:szCs w:val="20"/>
                      <w:rtl w:val="0"/>
                    </w:rPr>
                    <w:t xml:space="preserve">30000</w:t>
                  </w:r>
                </w:p>
              </w:tc>
            </w:tr>
            <w:tr>
              <w:trPr>
                <w:cantSplit w:val="1"/>
                <w:trHeight w:val="77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widowControl w:val="0"/>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Назначение руководителей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widowControl w:val="0"/>
                    <w:spacing w:after="160" w:line="259" w:lineRule="auto"/>
                    <w:rPr>
                      <w:sz w:val="20"/>
                      <w:szCs w:val="20"/>
                    </w:rPr>
                  </w:pPr>
                  <w:r w:rsidDel="00000000" w:rsidR="00000000" w:rsidRPr="00000000">
                    <w:rPr>
                      <w:sz w:val="20"/>
                      <w:szCs w:val="20"/>
                      <w:rtl w:val="0"/>
                    </w:rPr>
                    <w:t xml:space="preserve">30000</w:t>
                  </w:r>
                </w:p>
              </w:tc>
            </w:tr>
            <w:tr>
              <w:trPr>
                <w:cantSplit w:val="1"/>
                <w:trHeight w:val="77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widowControl w:val="0"/>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Разработка идеи, функционала приложения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widowControl w:val="0"/>
                    <w:spacing w:after="160" w:line="259" w:lineRule="auto"/>
                    <w:rPr>
                      <w:rFonts w:ascii="Times New Roman" w:cs="Times New Roman" w:eastAsia="Times New Roman" w:hAnsi="Times New Roman"/>
                      <w:sz w:val="20"/>
                      <w:szCs w:val="20"/>
                    </w:rPr>
                  </w:pPr>
                  <w:r w:rsidDel="00000000" w:rsidR="00000000" w:rsidRPr="00000000">
                    <w:rPr>
                      <w:sz w:val="20"/>
                      <w:szCs w:val="20"/>
                      <w:rtl w:val="0"/>
                    </w:rPr>
                    <w:t xml:space="preserve">121750</w:t>
                  </w:r>
                  <w:r w:rsidDel="00000000" w:rsidR="00000000" w:rsidRPr="00000000">
                    <w:rPr>
                      <w:rtl w:val="0"/>
                    </w:rPr>
                  </w:r>
                </w:p>
              </w:tc>
            </w:tr>
            <w:tr>
              <w:trPr>
                <w:cantSplit w:val="1"/>
                <w:trHeight w:val="5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widowControl w:val="0"/>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Анализ конкурентов, ЦА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widowControl w:val="0"/>
                    <w:spacing w:after="160" w:line="259" w:lineRule="auto"/>
                    <w:rPr>
                      <w:rFonts w:ascii="Times New Roman" w:cs="Times New Roman" w:eastAsia="Times New Roman" w:hAnsi="Times New Roman"/>
                      <w:sz w:val="20"/>
                      <w:szCs w:val="20"/>
                    </w:rPr>
                  </w:pPr>
                  <w:r w:rsidDel="00000000" w:rsidR="00000000" w:rsidRPr="00000000">
                    <w:rPr>
                      <w:sz w:val="20"/>
                      <w:szCs w:val="20"/>
                      <w:rtl w:val="0"/>
                    </w:rPr>
                    <w:t xml:space="preserve">230750</w:t>
                  </w:r>
                  <w:r w:rsidDel="00000000" w:rsidR="00000000" w:rsidRPr="00000000">
                    <w:rPr>
                      <w:rtl w:val="0"/>
                    </w:rPr>
                  </w:r>
                </w:p>
              </w:tc>
            </w:tr>
            <w:tr>
              <w:trPr>
                <w:cantSplit w:val="1"/>
                <w:trHeight w:val="5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widowControl w:val="0"/>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Составление бизнес-плана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widowControl w:val="0"/>
                    <w:shd w:fill="ffffff" w:val="clear"/>
                    <w:spacing w:after="20" w:line="306" w:lineRule="auto"/>
                    <w:ind w:right="20"/>
                    <w:rPr>
                      <w:sz w:val="20"/>
                      <w:szCs w:val="20"/>
                    </w:rPr>
                  </w:pPr>
                  <w:r w:rsidDel="00000000" w:rsidR="00000000" w:rsidRPr="00000000">
                    <w:rPr>
                      <w:sz w:val="20"/>
                      <w:szCs w:val="20"/>
                      <w:rtl w:val="0"/>
                    </w:rPr>
                    <w:t xml:space="preserve">340750</w:t>
                  </w:r>
                </w:p>
              </w:tc>
            </w:tr>
            <w:tr>
              <w:trPr>
                <w:cantSplit w:val="1"/>
                <w:trHeight w:val="5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widowControl w:val="0"/>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Регистрация юридического лица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widowControl w:val="0"/>
                    <w:spacing w:after="160" w:line="259" w:lineRule="auto"/>
                    <w:rPr>
                      <w:rFonts w:ascii="Times New Roman" w:cs="Times New Roman" w:eastAsia="Times New Roman" w:hAnsi="Times New Roman"/>
                      <w:sz w:val="20"/>
                      <w:szCs w:val="20"/>
                    </w:rPr>
                  </w:pPr>
                  <w:r w:rsidDel="00000000" w:rsidR="00000000" w:rsidRPr="00000000">
                    <w:rPr>
                      <w:sz w:val="20"/>
                      <w:szCs w:val="20"/>
                      <w:rtl w:val="0"/>
                    </w:rPr>
                    <w:t xml:space="preserve">214750</w:t>
                  </w:r>
                  <w:r w:rsidDel="00000000" w:rsidR="00000000" w:rsidRPr="00000000">
                    <w:rPr>
                      <w:rtl w:val="0"/>
                    </w:rPr>
                  </w:r>
                </w:p>
              </w:tc>
            </w:tr>
            <w:tr>
              <w:trPr>
                <w:cantSplit w:val="1"/>
                <w:trHeight w:val="5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widowControl w:val="0"/>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Поиск партнеров и инвесторов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F">
                  <w:pPr>
                    <w:widowControl w:val="0"/>
                    <w:spacing w:line="276" w:lineRule="auto"/>
                    <w:rPr>
                      <w:sz w:val="20"/>
                      <w:szCs w:val="20"/>
                    </w:rPr>
                  </w:pPr>
                  <w:r w:rsidDel="00000000" w:rsidR="00000000" w:rsidRPr="00000000">
                    <w:rPr>
                      <w:sz w:val="20"/>
                      <w:szCs w:val="20"/>
                      <w:rtl w:val="0"/>
                    </w:rPr>
                    <w:t xml:space="preserve">241500</w:t>
                  </w:r>
                </w:p>
              </w:tc>
            </w:tr>
            <w:tr>
              <w:trPr>
                <w:cantSplit w:val="1"/>
                <w:trHeight w:val="5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widowControl w:val="0"/>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Аренда офисного помещения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spacing w:line="276" w:lineRule="auto"/>
                    <w:rPr>
                      <w:sz w:val="20"/>
                      <w:szCs w:val="20"/>
                    </w:rPr>
                  </w:pPr>
                  <w:r w:rsidDel="00000000" w:rsidR="00000000" w:rsidRPr="00000000">
                    <w:rPr>
                      <w:sz w:val="20"/>
                      <w:szCs w:val="20"/>
                      <w:rtl w:val="0"/>
                    </w:rPr>
                    <w:t xml:space="preserve">270750</w:t>
                  </w:r>
                </w:p>
              </w:tc>
            </w:tr>
            <w:tr>
              <w:trPr>
                <w:cantSplit w:val="1"/>
                <w:trHeight w:val="5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widowControl w:val="0"/>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Закупка оборудования и ПО</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spacing w:line="276" w:lineRule="auto"/>
                    <w:rPr>
                      <w:sz w:val="20"/>
                      <w:szCs w:val="20"/>
                    </w:rPr>
                  </w:pPr>
                  <w:r w:rsidDel="00000000" w:rsidR="00000000" w:rsidRPr="00000000">
                    <w:rPr>
                      <w:sz w:val="20"/>
                      <w:szCs w:val="20"/>
                      <w:rtl w:val="0"/>
                    </w:rPr>
                    <w:t xml:space="preserve">463250</w:t>
                  </w:r>
                </w:p>
              </w:tc>
            </w:tr>
            <w:tr>
              <w:trPr>
                <w:cantSplit w:val="1"/>
                <w:trHeight w:val="5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widowControl w:val="0"/>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Найм персонала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spacing w:line="276" w:lineRule="auto"/>
                    <w:rPr>
                      <w:sz w:val="20"/>
                      <w:szCs w:val="20"/>
                    </w:rPr>
                  </w:pPr>
                  <w:r w:rsidDel="00000000" w:rsidR="00000000" w:rsidRPr="00000000">
                    <w:rPr>
                      <w:sz w:val="20"/>
                      <w:szCs w:val="20"/>
                      <w:rtl w:val="0"/>
                    </w:rPr>
                    <w:t xml:space="preserve">561500</w:t>
                  </w:r>
                </w:p>
              </w:tc>
            </w:tr>
            <w:tr>
              <w:trPr>
                <w:cantSplit w:val="1"/>
                <w:trHeight w:val="5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widowControl w:val="0"/>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Заключение сделок с авиакомпаниями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spacing w:line="276" w:lineRule="auto"/>
                    <w:rPr>
                      <w:sz w:val="20"/>
                      <w:szCs w:val="20"/>
                    </w:rPr>
                  </w:pPr>
                  <w:r w:rsidDel="00000000" w:rsidR="00000000" w:rsidRPr="00000000">
                    <w:rPr>
                      <w:sz w:val="20"/>
                      <w:szCs w:val="20"/>
                      <w:rtl w:val="0"/>
                    </w:rPr>
                    <w:t xml:space="preserve">541500</w:t>
                  </w:r>
                </w:p>
              </w:tc>
            </w:tr>
            <w:tr>
              <w:trPr>
                <w:cantSplit w:val="1"/>
                <w:trHeight w:val="5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widowControl w:val="0"/>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Планирование рекламной и PR-деятельности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E">
                  <w:pPr>
                    <w:widowControl w:val="0"/>
                    <w:spacing w:line="276" w:lineRule="auto"/>
                    <w:rPr>
                      <w:sz w:val="20"/>
                      <w:szCs w:val="20"/>
                    </w:rPr>
                  </w:pPr>
                  <w:r w:rsidDel="00000000" w:rsidR="00000000" w:rsidRPr="00000000">
                    <w:rPr>
                      <w:sz w:val="20"/>
                      <w:szCs w:val="20"/>
                      <w:rtl w:val="0"/>
                    </w:rPr>
                    <w:t xml:space="preserve">290750</w:t>
                  </w:r>
                </w:p>
              </w:tc>
            </w:tr>
            <w:tr>
              <w:trPr>
                <w:cantSplit w:val="1"/>
                <w:trHeight w:val="5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widowControl w:val="0"/>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Разработка дизайна приложения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spacing w:line="276" w:lineRule="auto"/>
                    <w:rPr>
                      <w:sz w:val="20"/>
                      <w:szCs w:val="20"/>
                    </w:rPr>
                  </w:pPr>
                  <w:r w:rsidDel="00000000" w:rsidR="00000000" w:rsidRPr="00000000">
                    <w:rPr>
                      <w:sz w:val="20"/>
                      <w:szCs w:val="20"/>
                      <w:rtl w:val="0"/>
                    </w:rPr>
                    <w:t xml:space="preserve">661500</w:t>
                  </w:r>
                </w:p>
              </w:tc>
            </w:tr>
            <w:tr>
              <w:trPr>
                <w:cantSplit w:val="1"/>
                <w:trHeight w:val="5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widowControl w:val="0"/>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Написание кода для приложения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spacing w:line="276" w:lineRule="auto"/>
                    <w:rPr>
                      <w:sz w:val="20"/>
                      <w:szCs w:val="20"/>
                    </w:rPr>
                  </w:pPr>
                  <w:r w:rsidDel="00000000" w:rsidR="00000000" w:rsidRPr="00000000">
                    <w:rPr>
                      <w:sz w:val="20"/>
                      <w:szCs w:val="20"/>
                      <w:rtl w:val="0"/>
                    </w:rPr>
                    <w:t xml:space="preserve">801500</w:t>
                  </w:r>
                </w:p>
              </w:tc>
            </w:tr>
            <w:tr>
              <w:trPr>
                <w:cantSplit w:val="1"/>
                <w:trHeight w:val="5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widowControl w:val="0"/>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Тестирование приложения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spacing w:line="276" w:lineRule="auto"/>
                    <w:rPr>
                      <w:sz w:val="20"/>
                      <w:szCs w:val="20"/>
                    </w:rPr>
                  </w:pPr>
                  <w:r w:rsidDel="00000000" w:rsidR="00000000" w:rsidRPr="00000000">
                    <w:rPr>
                      <w:sz w:val="20"/>
                      <w:szCs w:val="20"/>
                      <w:rtl w:val="0"/>
                    </w:rPr>
                    <w:t xml:space="preserve">601500</w:t>
                  </w:r>
                </w:p>
              </w:tc>
            </w:tr>
            <w:tr>
              <w:trPr>
                <w:cantSplit w:val="1"/>
                <w:trHeight w:val="5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widowControl w:val="0"/>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Создание соц. сетей и их контентное наполнение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spacing w:line="276" w:lineRule="auto"/>
                    <w:rPr>
                      <w:sz w:val="20"/>
                      <w:szCs w:val="20"/>
                    </w:rPr>
                  </w:pPr>
                  <w:r w:rsidDel="00000000" w:rsidR="00000000" w:rsidRPr="00000000">
                    <w:rPr>
                      <w:sz w:val="20"/>
                      <w:szCs w:val="20"/>
                      <w:rtl w:val="0"/>
                    </w:rPr>
                    <w:t xml:space="preserve">551500</w:t>
                  </w:r>
                </w:p>
              </w:tc>
            </w:tr>
            <w:tr>
              <w:trPr>
                <w:cantSplit w:val="1"/>
                <w:trHeight w:val="5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widowControl w:val="0"/>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Запуск приложения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spacing w:line="276" w:lineRule="auto"/>
                    <w:rPr>
                      <w:sz w:val="20"/>
                      <w:szCs w:val="20"/>
                    </w:rPr>
                  </w:pPr>
                  <w:r w:rsidDel="00000000" w:rsidR="00000000" w:rsidRPr="00000000">
                    <w:rPr>
                      <w:sz w:val="20"/>
                      <w:szCs w:val="20"/>
                      <w:rtl w:val="0"/>
                    </w:rPr>
                    <w:t xml:space="preserve">611000</w:t>
                  </w:r>
                </w:p>
              </w:tc>
            </w:tr>
          </w:tbl>
          <w:p w:rsidR="00000000" w:rsidDel="00000000" w:rsidP="00000000" w:rsidRDefault="00000000" w:rsidRPr="00000000" w14:paraId="0000006E">
            <w:pPr>
              <w:spacing w:after="160" w:line="259" w:lineRule="auto"/>
              <w:ind w:firstLine="36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F">
            <w:pPr>
              <w:spacing w:after="160" w:line="259"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Итого: длительность проекта составляет 1 год и 8 месяцев, требует инвестиций в размере </w:t>
            </w:r>
            <w:r w:rsidDel="00000000" w:rsidR="00000000" w:rsidRPr="00000000">
              <w:rPr>
                <w:rFonts w:ascii="Times New Roman" w:cs="Times New Roman" w:eastAsia="Times New Roman" w:hAnsi="Times New Roman"/>
                <w:sz w:val="20"/>
                <w:szCs w:val="20"/>
                <w:rtl w:val="0"/>
              </w:rPr>
              <w:t xml:space="preserve">6624250</w:t>
            </w:r>
            <w:r w:rsidDel="00000000" w:rsidR="00000000" w:rsidRPr="00000000">
              <w:rPr>
                <w:rFonts w:ascii="Times New Roman" w:cs="Times New Roman" w:eastAsia="Times New Roman" w:hAnsi="Times New Roman"/>
                <w:sz w:val="20"/>
                <w:szCs w:val="20"/>
                <w:rtl w:val="0"/>
              </w:rPr>
              <w:t xml:space="preserve"> рублей.</w:t>
            </w:r>
            <w:r w:rsidDel="00000000" w:rsidR="00000000" w:rsidRPr="00000000">
              <w:rPr>
                <w:rtl w:val="0"/>
              </w:rPr>
            </w:r>
          </w:p>
        </w:tc>
      </w:tr>
    </w:tbl>
    <w:p w:rsidR="00000000" w:rsidDel="00000000" w:rsidP="00000000" w:rsidRDefault="00000000" w:rsidRPr="00000000" w14:paraId="00000070">
      <w:pPr>
        <w:spacing w:after="160" w:line="259" w:lineRule="auto"/>
        <w:rPr>
          <w:rFonts w:ascii="Times New Roman" w:cs="Times New Roman" w:eastAsia="Times New Roman" w:hAnsi="Times New Roman"/>
          <w:sz w:val="20"/>
          <w:szCs w:val="20"/>
        </w:rPr>
      </w:pPr>
      <w:r w:rsidDel="00000000" w:rsidR="00000000" w:rsidRPr="00000000">
        <w:rPr>
          <w:rtl w:val="0"/>
        </w:rPr>
      </w:r>
    </w:p>
    <w:tbl>
      <w:tblPr>
        <w:tblStyle w:val="Table4"/>
        <w:tblW w:w="9740.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0"/>
        <w:tblGridChange w:id="0">
          <w:tblGrid>
            <w:gridCol w:w="9740"/>
          </w:tblGrid>
        </w:tblGridChange>
      </w:tblGrid>
      <w:tr>
        <w:trPr>
          <w:cantSplit w:val="0"/>
          <w:tblHeader w:val="0"/>
        </w:trPr>
        <w:tc>
          <w:tcPr/>
          <w:p w:rsidR="00000000" w:rsidDel="00000000" w:rsidP="00000000" w:rsidRDefault="00000000" w:rsidRPr="00000000" w14:paraId="00000071">
            <w:pPr>
              <w:numPr>
                <w:ilvl w:val="0"/>
                <w:numId w:val="5"/>
              </w:numPr>
              <w:spacing w:after="200" w:before="240" w:lineRule="auto"/>
              <w:ind w:left="1080" w:hanging="36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Предполагаемая структура уставного капитала компании (в рамках стартап-проекта)</w:t>
            </w:r>
          </w:p>
          <w:tbl>
            <w:tblPr>
              <w:tblStyle w:val="Table5"/>
              <w:tblW w:w="9064.0" w:type="dxa"/>
              <w:jc w:val="left"/>
              <w:tblInd w:w="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6"/>
              <w:gridCol w:w="2594"/>
              <w:gridCol w:w="3544"/>
              <w:tblGridChange w:id="0">
                <w:tblGrid>
                  <w:gridCol w:w="2926"/>
                  <w:gridCol w:w="2594"/>
                  <w:gridCol w:w="3544"/>
                </w:tblGrid>
              </w:tblGridChange>
            </w:tblGrid>
            <w:tr>
              <w:trPr>
                <w:cantSplit w:val="1"/>
                <w:trHeight w:val="2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widowControl w:val="0"/>
                    <w:tabs>
                      <w:tab w:val="right" w:leader="none" w:pos="4500"/>
                    </w:tabs>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Участники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widowControl w:val="0"/>
                    <w:spacing w:after="160" w:line="259" w:lineRule="auto"/>
                    <w:ind w:firstLine="360"/>
                    <w:rPr>
                      <w:rFonts w:ascii="Times New Roman" w:cs="Times New Roman" w:eastAsia="Times New Roman" w:hAnsi="Times New Roman"/>
                      <w:sz w:val="20"/>
                      <w:szCs w:val="20"/>
                    </w:rPr>
                  </w:pPr>
                  <w:r w:rsidDel="00000000" w:rsidR="00000000" w:rsidRPr="00000000">
                    <w:rPr>
                      <w:rtl w:val="0"/>
                    </w:rPr>
                  </w:r>
                </w:p>
              </w:tc>
            </w:tr>
            <w:tr>
              <w:trPr>
                <w:cantSplit w:val="1"/>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Размер доли (руб.)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1"/>
                <w:trHeight w:val="77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widowControl w:val="0"/>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Штельц Никита Владиславович</w:t>
                  </w:r>
                </w:p>
                <w:p w:rsidR="00000000" w:rsidDel="00000000" w:rsidP="00000000" w:rsidRDefault="00000000" w:rsidRPr="00000000" w14:paraId="00000079">
                  <w:pPr>
                    <w:widowControl w:val="0"/>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Вачугова Марина Александровна </w:t>
                  </w:r>
                </w:p>
                <w:p w:rsidR="00000000" w:rsidDel="00000000" w:rsidP="00000000" w:rsidRDefault="00000000" w:rsidRPr="00000000" w14:paraId="0000007A">
                  <w:pPr>
                    <w:widowControl w:val="0"/>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Шабанова Жанна Алексеевна</w:t>
                  </w:r>
                </w:p>
                <w:p w:rsidR="00000000" w:rsidDel="00000000" w:rsidP="00000000" w:rsidRDefault="00000000" w:rsidRPr="00000000" w14:paraId="0000007B">
                  <w:pPr>
                    <w:widowControl w:val="0"/>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Селезнева Анастасия Юрьевна </w:t>
                  </w:r>
                </w:p>
                <w:p w:rsidR="00000000" w:rsidDel="00000000" w:rsidP="00000000" w:rsidRDefault="00000000" w:rsidRPr="00000000" w14:paraId="0000007C">
                  <w:pPr>
                    <w:widowControl w:val="0"/>
                    <w:spacing w:after="160" w:line="259"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2500</w:t>
                  </w:r>
                </w:p>
                <w:p w:rsidR="00000000" w:rsidDel="00000000" w:rsidP="00000000" w:rsidRDefault="00000000" w:rsidRPr="00000000" w14:paraId="0000007E">
                  <w:pPr>
                    <w:spacing w:after="160" w:line="259"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F">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2500</w:t>
                  </w:r>
                </w:p>
                <w:p w:rsidR="00000000" w:rsidDel="00000000" w:rsidP="00000000" w:rsidRDefault="00000000" w:rsidRPr="00000000" w14:paraId="00000080">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2500</w:t>
                  </w:r>
                </w:p>
                <w:p w:rsidR="00000000" w:rsidDel="00000000" w:rsidP="00000000" w:rsidRDefault="00000000" w:rsidRPr="00000000" w14:paraId="00000081">
                  <w:pPr>
                    <w:spacing w:after="160" w:line="259"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2">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p w:rsidR="00000000" w:rsidDel="00000000" w:rsidP="00000000" w:rsidRDefault="00000000" w:rsidRPr="00000000" w14:paraId="00000084">
                  <w:pPr>
                    <w:widowControl w:val="0"/>
                    <w:spacing w:after="160" w:line="259"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5">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p w:rsidR="00000000" w:rsidDel="00000000" w:rsidP="00000000" w:rsidRDefault="00000000" w:rsidRPr="00000000" w14:paraId="00000086">
                  <w:pPr>
                    <w:widowControl w:val="0"/>
                    <w:spacing w:after="160" w:line="259"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7">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 </w:t>
                  </w:r>
                </w:p>
                <w:p w:rsidR="00000000" w:rsidDel="00000000" w:rsidP="00000000" w:rsidRDefault="00000000" w:rsidRPr="00000000" w14:paraId="00000088">
                  <w:pPr>
                    <w:widowControl w:val="0"/>
                    <w:spacing w:after="160" w:line="259"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9">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r>
            <w:tr>
              <w:trPr>
                <w:cantSplit w:val="1"/>
                <w:trHeight w:val="5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widowControl w:val="0"/>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Размер Уставного капитала (УК)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B">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тыс. рублей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C">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r>
          </w:tbl>
          <w:p w:rsidR="00000000" w:rsidDel="00000000" w:rsidP="00000000" w:rsidRDefault="00000000" w:rsidRPr="00000000" w14:paraId="0000008D">
            <w:pPr>
              <w:spacing w:after="160" w:line="259"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E">
            <w:pPr>
              <w:spacing w:after="160" w:line="259" w:lineRule="auto"/>
              <w:ind w:firstLine="360"/>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8F">
      <w:pPr>
        <w:spacing w:after="160" w:line="259" w:lineRule="auto"/>
        <w:rPr>
          <w:rFonts w:ascii="Times New Roman" w:cs="Times New Roman" w:eastAsia="Times New Roman" w:hAnsi="Times New Roman"/>
          <w:sz w:val="20"/>
          <w:szCs w:val="20"/>
        </w:rPr>
      </w:pPr>
      <w:r w:rsidDel="00000000" w:rsidR="00000000" w:rsidRPr="00000000">
        <w:rPr>
          <w:rtl w:val="0"/>
        </w:rPr>
      </w:r>
    </w:p>
    <w:tbl>
      <w:tblPr>
        <w:tblStyle w:val="Table6"/>
        <w:tblW w:w="96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0"/>
        <w:gridCol w:w="1725"/>
        <w:gridCol w:w="1695"/>
        <w:gridCol w:w="2550"/>
        <w:gridCol w:w="1740"/>
        <w:tblGridChange w:id="0">
          <w:tblGrid>
            <w:gridCol w:w="1980"/>
            <w:gridCol w:w="1725"/>
            <w:gridCol w:w="1695"/>
            <w:gridCol w:w="2550"/>
            <w:gridCol w:w="1740"/>
          </w:tblGrid>
        </w:tblGridChange>
      </w:tblGrid>
      <w:tr>
        <w:trPr>
          <w:cantSplit w:val="0"/>
          <w:trHeight w:val="509" w:hRule="atLeast"/>
          <w:tblHeader w:val="0"/>
        </w:trPr>
        <w:tc>
          <w:tcPr>
            <w:gridSpan w:val="5"/>
            <w:tcMar>
              <w:top w:w="72.0" w:type="dxa"/>
              <w:left w:w="144.0" w:type="dxa"/>
              <w:bottom w:w="72.0" w:type="dxa"/>
              <w:right w:w="144.0" w:type="dxa"/>
            </w:tcMar>
            <w:vAlign w:val="center"/>
          </w:tcPr>
          <w:p w:rsidR="00000000" w:rsidDel="00000000" w:rsidP="00000000" w:rsidRDefault="00000000" w:rsidRPr="00000000" w14:paraId="00000090">
            <w:pPr>
              <w:widowControl w:val="0"/>
              <w:numPr>
                <w:ilvl w:val="0"/>
                <w:numId w:val="5"/>
              </w:numPr>
              <w:spacing w:after="200" w:lineRule="auto"/>
              <w:ind w:left="1080" w:hanging="36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Команда стартап-проекта                                 </w:t>
            </w:r>
          </w:p>
        </w:tc>
      </w:tr>
      <w:tr>
        <w:trPr>
          <w:cantSplit w:val="0"/>
          <w:trHeight w:val="509" w:hRule="atLeast"/>
          <w:tblHeader w:val="0"/>
        </w:trPr>
        <w:tc>
          <w:tcPr>
            <w:vAlign w:val="center"/>
          </w:tcPr>
          <w:p w:rsidR="00000000" w:rsidDel="00000000" w:rsidP="00000000" w:rsidRDefault="00000000" w:rsidRPr="00000000" w14:paraId="00000095">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Ф.И.О.</w:t>
            </w:r>
          </w:p>
        </w:tc>
        <w:tc>
          <w:tcPr>
            <w:vAlign w:val="center"/>
          </w:tcPr>
          <w:p w:rsidR="00000000" w:rsidDel="00000000" w:rsidP="00000000" w:rsidRDefault="00000000" w:rsidRPr="00000000" w14:paraId="00000096">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Должность (роль)        </w:t>
            </w:r>
          </w:p>
        </w:tc>
        <w:tc>
          <w:tcPr>
            <w:tcMar>
              <w:top w:w="72.0" w:type="dxa"/>
              <w:left w:w="144.0" w:type="dxa"/>
              <w:bottom w:w="72.0" w:type="dxa"/>
              <w:right w:w="144.0" w:type="dxa"/>
            </w:tcMar>
            <w:vAlign w:val="center"/>
          </w:tcPr>
          <w:p w:rsidR="00000000" w:rsidDel="00000000" w:rsidP="00000000" w:rsidRDefault="00000000" w:rsidRPr="00000000" w14:paraId="00000097">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Контакты         </w:t>
            </w:r>
          </w:p>
        </w:tc>
        <w:tc>
          <w:tcPr>
            <w:tcMar>
              <w:top w:w="72.0" w:type="dxa"/>
              <w:left w:w="144.0" w:type="dxa"/>
              <w:bottom w:w="72.0" w:type="dxa"/>
              <w:right w:w="144.0" w:type="dxa"/>
            </w:tcMar>
            <w:vAlign w:val="center"/>
          </w:tcPr>
          <w:p w:rsidR="00000000" w:rsidDel="00000000" w:rsidP="00000000" w:rsidRDefault="00000000" w:rsidRPr="00000000" w14:paraId="00000098">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Выполняемые работы в Проекте</w:t>
            </w:r>
          </w:p>
        </w:tc>
        <w:tc>
          <w:tcPr>
            <w:vAlign w:val="center"/>
          </w:tcPr>
          <w:p w:rsidR="00000000" w:rsidDel="00000000" w:rsidP="00000000" w:rsidRDefault="00000000" w:rsidRPr="00000000" w14:paraId="00000099">
            <w:pPr>
              <w:widowControl w:val="0"/>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Образование/опыт работы</w:t>
            </w:r>
          </w:p>
        </w:tc>
      </w:tr>
      <w:tr>
        <w:trPr>
          <w:cantSplit w:val="0"/>
          <w:trHeight w:val="557" w:hRule="atLeast"/>
          <w:tblHeader w:val="0"/>
        </w:trPr>
        <w:tc>
          <w:tcPr/>
          <w:p w:rsidR="00000000" w:rsidDel="00000000" w:rsidP="00000000" w:rsidRDefault="00000000" w:rsidRPr="00000000" w14:paraId="0000009A">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Штельц Никита Владиславович</w:t>
            </w:r>
          </w:p>
        </w:tc>
        <w:tc>
          <w:tcPr/>
          <w:p w:rsidR="00000000" w:rsidDel="00000000" w:rsidP="00000000" w:rsidRDefault="00000000" w:rsidRPr="00000000" w14:paraId="0000009B">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Руководитель проекта</w:t>
            </w:r>
          </w:p>
        </w:tc>
        <w:tc>
          <w:tcPr>
            <w:tcMar>
              <w:top w:w="72.0" w:type="dxa"/>
              <w:left w:w="144.0" w:type="dxa"/>
              <w:bottom w:w="72.0" w:type="dxa"/>
              <w:right w:w="144.0" w:type="dxa"/>
            </w:tcMar>
          </w:tcPr>
          <w:p w:rsidR="00000000" w:rsidDel="00000000" w:rsidP="00000000" w:rsidRDefault="00000000" w:rsidRPr="00000000" w14:paraId="0000009C">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тел. +79153409342</w:t>
            </w:r>
          </w:p>
        </w:tc>
        <w:tc>
          <w:tcPr>
            <w:tcMar>
              <w:top w:w="72.0" w:type="dxa"/>
              <w:left w:w="144.0" w:type="dxa"/>
              <w:bottom w:w="72.0" w:type="dxa"/>
              <w:right w:w="144.0" w:type="dxa"/>
            </w:tcMar>
          </w:tcPr>
          <w:p w:rsidR="00000000" w:rsidDel="00000000" w:rsidP="00000000" w:rsidRDefault="00000000" w:rsidRPr="00000000" w14:paraId="0000009D">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Разработка финансового плана, решение юридических вопросов</w:t>
            </w:r>
          </w:p>
        </w:tc>
        <w:tc>
          <w:tcPr>
            <w:tcMar>
              <w:top w:w="72.0" w:type="dxa"/>
              <w:left w:w="144.0" w:type="dxa"/>
              <w:bottom w:w="72.0" w:type="dxa"/>
              <w:right w:w="144.0" w:type="dxa"/>
            </w:tcMar>
          </w:tcPr>
          <w:p w:rsidR="00000000" w:rsidDel="00000000" w:rsidP="00000000" w:rsidRDefault="00000000" w:rsidRPr="00000000" w14:paraId="0000009E">
            <w:pPr>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курс, специальность “маркетинг”</w:t>
            </w:r>
          </w:p>
        </w:tc>
      </w:tr>
      <w:tr>
        <w:trPr>
          <w:cantSplit w:val="0"/>
          <w:trHeight w:val="577" w:hRule="atLeast"/>
          <w:tblHeader w:val="0"/>
        </w:trPr>
        <w:tc>
          <w:tcPr/>
          <w:p w:rsidR="00000000" w:rsidDel="00000000" w:rsidP="00000000" w:rsidRDefault="00000000" w:rsidRPr="00000000" w14:paraId="0000009F">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Шабанова Жанна Алексеевна</w:t>
            </w:r>
          </w:p>
        </w:tc>
        <w:tc>
          <w:tcPr/>
          <w:p w:rsidR="00000000" w:rsidDel="00000000" w:rsidP="00000000" w:rsidRDefault="00000000" w:rsidRPr="00000000" w14:paraId="000000A0">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Дизайнер</w:t>
            </w:r>
          </w:p>
        </w:tc>
        <w:tc>
          <w:tcPr>
            <w:tcMar>
              <w:top w:w="72.0" w:type="dxa"/>
              <w:left w:w="144.0" w:type="dxa"/>
              <w:bottom w:w="72.0" w:type="dxa"/>
              <w:right w:w="144.0" w:type="dxa"/>
            </w:tcMar>
          </w:tcPr>
          <w:p w:rsidR="00000000" w:rsidDel="00000000" w:rsidP="00000000" w:rsidRDefault="00000000" w:rsidRPr="00000000" w14:paraId="000000A1">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тел. +79129984622</w:t>
            </w:r>
          </w:p>
        </w:tc>
        <w:tc>
          <w:tcPr>
            <w:tcMar>
              <w:top w:w="72.0" w:type="dxa"/>
              <w:left w:w="144.0" w:type="dxa"/>
              <w:bottom w:w="72.0" w:type="dxa"/>
              <w:right w:w="144.0" w:type="dxa"/>
            </w:tcMar>
          </w:tcPr>
          <w:p w:rsidR="00000000" w:rsidDel="00000000" w:rsidP="00000000" w:rsidRDefault="00000000" w:rsidRPr="00000000" w14:paraId="000000A2">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Разработка и дизайн интерфейса приложения, логотипа и других фирменных визуальных элементов</w:t>
            </w:r>
          </w:p>
        </w:tc>
        <w:tc>
          <w:tcPr>
            <w:tcMar>
              <w:top w:w="72.0" w:type="dxa"/>
              <w:left w:w="144.0" w:type="dxa"/>
              <w:bottom w:w="72.0" w:type="dxa"/>
              <w:right w:w="144.0" w:type="dxa"/>
            </w:tcMar>
          </w:tcPr>
          <w:p w:rsidR="00000000" w:rsidDel="00000000" w:rsidP="00000000" w:rsidRDefault="00000000" w:rsidRPr="00000000" w14:paraId="000000A3">
            <w:pPr>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курс, специальность “маркетинг”</w:t>
            </w:r>
          </w:p>
        </w:tc>
      </w:tr>
      <w:tr>
        <w:trPr>
          <w:cantSplit w:val="0"/>
          <w:trHeight w:val="555" w:hRule="atLeast"/>
          <w:tblHeader w:val="0"/>
        </w:trPr>
        <w:tc>
          <w:tcPr/>
          <w:p w:rsidR="00000000" w:rsidDel="00000000" w:rsidP="00000000" w:rsidRDefault="00000000" w:rsidRPr="00000000" w14:paraId="000000A4">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Вачугова Марина Александровна</w:t>
            </w:r>
          </w:p>
        </w:tc>
        <w:tc>
          <w:tcPr/>
          <w:p w:rsidR="00000000" w:rsidDel="00000000" w:rsidP="00000000" w:rsidRDefault="00000000" w:rsidRPr="00000000" w14:paraId="000000A5">
            <w:pPr>
              <w:spacing w:after="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Маркетолог</w:t>
            </w:r>
          </w:p>
          <w:p w:rsidR="00000000" w:rsidDel="00000000" w:rsidP="00000000" w:rsidRDefault="00000000" w:rsidRPr="00000000" w14:paraId="000000A6">
            <w:pPr>
              <w:spacing w:after="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-аналитик</w:t>
            </w:r>
          </w:p>
        </w:tc>
        <w:tc>
          <w:tcPr>
            <w:tcMar>
              <w:top w:w="72.0" w:type="dxa"/>
              <w:left w:w="144.0" w:type="dxa"/>
              <w:bottom w:w="72.0" w:type="dxa"/>
              <w:right w:w="144.0" w:type="dxa"/>
            </w:tcMar>
          </w:tcPr>
          <w:p w:rsidR="00000000" w:rsidDel="00000000" w:rsidP="00000000" w:rsidRDefault="00000000" w:rsidRPr="00000000" w14:paraId="000000A7">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тел. +79176176920</w:t>
            </w:r>
          </w:p>
        </w:tc>
        <w:tc>
          <w:tcPr>
            <w:tcMar>
              <w:top w:w="72.0" w:type="dxa"/>
              <w:left w:w="144.0" w:type="dxa"/>
              <w:bottom w:w="72.0" w:type="dxa"/>
              <w:right w:w="144.0" w:type="dxa"/>
            </w:tcMar>
          </w:tcPr>
          <w:p w:rsidR="00000000" w:rsidDel="00000000" w:rsidP="00000000" w:rsidRDefault="00000000" w:rsidRPr="00000000" w14:paraId="000000A8">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Исследование рынка, планирование рекламной и PR-деятельности</w:t>
            </w:r>
          </w:p>
        </w:tc>
        <w:tc>
          <w:tcPr>
            <w:tcMar>
              <w:top w:w="72.0" w:type="dxa"/>
              <w:left w:w="144.0" w:type="dxa"/>
              <w:bottom w:w="72.0" w:type="dxa"/>
              <w:right w:w="144.0" w:type="dxa"/>
            </w:tcMar>
          </w:tcPr>
          <w:p w:rsidR="00000000" w:rsidDel="00000000" w:rsidP="00000000" w:rsidRDefault="00000000" w:rsidRPr="00000000" w14:paraId="000000A9">
            <w:pPr>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курс, специальность “маркетинг”</w:t>
            </w:r>
          </w:p>
        </w:tc>
      </w:tr>
      <w:tr>
        <w:trPr>
          <w:cantSplit w:val="0"/>
          <w:trHeight w:val="555" w:hRule="atLeast"/>
          <w:tblHeader w:val="0"/>
        </w:trPr>
        <w:tc>
          <w:tcPr/>
          <w:p w:rsidR="00000000" w:rsidDel="00000000" w:rsidP="00000000" w:rsidRDefault="00000000" w:rsidRPr="00000000" w14:paraId="000000AA">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Селезнева Анастасия Юрьевна </w:t>
            </w:r>
          </w:p>
        </w:tc>
        <w:tc>
          <w:tcPr/>
          <w:p w:rsidR="00000000" w:rsidDel="00000000" w:rsidP="00000000" w:rsidRDefault="00000000" w:rsidRPr="00000000" w14:paraId="000000AB">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Бизнес-аналитик</w:t>
            </w:r>
          </w:p>
        </w:tc>
        <w:tc>
          <w:tcPr>
            <w:tcMar>
              <w:top w:w="72.0" w:type="dxa"/>
              <w:left w:w="144.0" w:type="dxa"/>
              <w:bottom w:w="72.0" w:type="dxa"/>
              <w:right w:w="144.0" w:type="dxa"/>
            </w:tcMar>
          </w:tcPr>
          <w:p w:rsidR="00000000" w:rsidDel="00000000" w:rsidP="00000000" w:rsidRDefault="00000000" w:rsidRPr="00000000" w14:paraId="000000AC">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тел. +79057232459</w:t>
            </w:r>
          </w:p>
        </w:tc>
        <w:tc>
          <w:tcPr>
            <w:tcMar>
              <w:top w:w="72.0" w:type="dxa"/>
              <w:left w:w="144.0" w:type="dxa"/>
              <w:bottom w:w="72.0" w:type="dxa"/>
              <w:right w:w="144.0" w:type="dxa"/>
            </w:tcMar>
          </w:tcPr>
          <w:p w:rsidR="00000000" w:rsidDel="00000000" w:rsidP="00000000" w:rsidRDefault="00000000" w:rsidRPr="00000000" w14:paraId="000000AD">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Разработка бизнес-плана, работа с партнерами </w:t>
            </w:r>
          </w:p>
        </w:tc>
        <w:tc>
          <w:tcPr>
            <w:tcMar>
              <w:top w:w="72.0" w:type="dxa"/>
              <w:left w:w="144.0" w:type="dxa"/>
              <w:bottom w:w="72.0" w:type="dxa"/>
              <w:right w:w="144.0" w:type="dxa"/>
            </w:tcMar>
          </w:tcPr>
          <w:p w:rsidR="00000000" w:rsidDel="00000000" w:rsidP="00000000" w:rsidRDefault="00000000" w:rsidRPr="00000000" w14:paraId="000000AE">
            <w:pPr>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курс, специальность “маркетинг”</w:t>
            </w:r>
          </w:p>
        </w:tc>
      </w:tr>
    </w:tbl>
    <w:p w:rsidR="00000000" w:rsidDel="00000000" w:rsidP="00000000" w:rsidRDefault="00000000" w:rsidRPr="00000000" w14:paraId="000000AF">
      <w:pPr>
        <w:rPr/>
      </w:pPr>
      <w:r w:rsidDel="00000000" w:rsidR="00000000" w:rsidRPr="00000000">
        <w:rPr>
          <w:rtl w:val="0"/>
        </w:rPr>
      </w:r>
    </w:p>
    <w:sectPr>
      <w:pgSz w:h="16834" w:w="11909" w:orient="portrait"/>
      <w:pgMar w:bottom="1133.8582677165355" w:top="850.3937007874016"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0">
      <w:pPr>
        <w:spacing w:line="240" w:lineRule="auto"/>
        <w:rPr>
          <w:rFonts w:ascii="Calibri" w:cs="Calibri" w:eastAsia="Calibri" w:hAnsi="Calibri"/>
          <w:color w:val="ff0000"/>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color w:val="ff0000"/>
          <w:sz w:val="20"/>
          <w:szCs w:val="20"/>
          <w:rtl w:val="0"/>
        </w:rPr>
        <w:t xml:space="preserve"> </w:t>
      </w:r>
      <w:r w:rsidDel="00000000" w:rsidR="00000000" w:rsidRPr="00000000">
        <w:rPr>
          <w:rFonts w:ascii="Times New Roman" w:cs="Times New Roman" w:eastAsia="Times New Roman" w:hAnsi="Times New Roman"/>
          <w:color w:val="ff0000"/>
          <w:sz w:val="20"/>
          <w:szCs w:val="20"/>
          <w:rtl w:val="0"/>
        </w:rPr>
        <w:t xml:space="preserve">Бизнес-модель стартап-проекта - это фундамент, на котором возводится проект. Есть две основные классификации бизнес-моделей: по типу клиентов и по способу получения прибыли.</w:t>
      </w:r>
      <w:r w:rsidDel="00000000" w:rsidR="00000000" w:rsidRPr="00000000">
        <w:rPr>
          <w:rtl w:val="0"/>
        </w:rPr>
      </w:r>
    </w:p>
  </w:footnote>
  <w:footnote w:id="1">
    <w:p w:rsidR="00000000" w:rsidDel="00000000" w:rsidP="00000000" w:rsidRDefault="00000000" w:rsidRPr="00000000" w14:paraId="000000B1">
      <w:pPr>
        <w:spacing w:line="240" w:lineRule="auto"/>
        <w:rPr>
          <w:rFonts w:ascii="Calibri" w:cs="Calibri" w:eastAsia="Calibri" w:hAnsi="Calibri"/>
          <w:color w:val="ff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ff0000"/>
          <w:sz w:val="20"/>
          <w:szCs w:val="20"/>
          <w:rtl w:val="0"/>
        </w:rPr>
        <w:t xml:space="preserve"> Объем финансового обеспечения достаточно указать для первого этапа - дойти до MVP</w:t>
      </w:r>
      <w:r w:rsidDel="00000000" w:rsidR="00000000" w:rsidRPr="00000000">
        <w:rPr>
          <w:rtl w:val="0"/>
        </w:rPr>
      </w:r>
    </w:p>
  </w:footnote>
  <w:footnote w:id="2">
    <w:p w:rsidR="00000000" w:rsidDel="00000000" w:rsidP="00000000" w:rsidRDefault="00000000" w:rsidRPr="00000000" w14:paraId="000000B2">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color w:val="ff0000"/>
          <w:sz w:val="20"/>
          <w:szCs w:val="20"/>
          <w:rtl w:val="0"/>
        </w:rPr>
        <w:t xml:space="preserve"> </w:t>
      </w:r>
      <w:r w:rsidDel="00000000" w:rsidR="00000000" w:rsidRPr="00000000">
        <w:rPr>
          <w:rFonts w:ascii="Times New Roman" w:cs="Times New Roman" w:eastAsia="Times New Roman" w:hAnsi="Times New Roman"/>
          <w:color w:val="ff0000"/>
          <w:sz w:val="20"/>
          <w:szCs w:val="20"/>
          <w:rtl w:val="0"/>
        </w:rPr>
        <w:t xml:space="preserve">Расчет рисков исходя из наиболее валидного (для данного проекта) анализа, например, как PEST, SWOT и.т.п, а также расчет индекса рентабельности инвестиции (Profitability index, PI)</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3"/>
      <w:numFmt w:val="decimal"/>
      <w:lvlText w:val="%1."/>
      <w:lvlJc w:val="left"/>
      <w:pPr>
        <w:ind w:left="1080" w:hanging="360"/>
      </w:pPr>
      <w:rPr>
        <w:b w:val="1"/>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a" w:default="1">
    <w:name w:val="Normal"/>
    <w:qFormat w:val="1"/>
  </w:style>
  <w:style w:type="paragraph" w:styleId="1">
    <w:name w:val="heading 1"/>
    <w:basedOn w:val="a"/>
    <w:next w:val="a"/>
    <w:uiPriority w:val="9"/>
    <w:qFormat w:val="1"/>
    <w:pPr>
      <w:keepNext w:val="1"/>
      <w:keepLines w:val="1"/>
      <w:spacing w:after="120" w:before="400"/>
      <w:outlineLvl w:val="0"/>
    </w:pPr>
    <w:rPr>
      <w:sz w:val="40"/>
      <w:szCs w:val="40"/>
    </w:rPr>
  </w:style>
  <w:style w:type="paragraph" w:styleId="2">
    <w:name w:val="heading 2"/>
    <w:basedOn w:val="a"/>
    <w:next w:val="a"/>
    <w:uiPriority w:val="9"/>
    <w:semiHidden w:val="1"/>
    <w:unhideWhenUsed w:val="1"/>
    <w:qFormat w:val="1"/>
    <w:pPr>
      <w:keepNext w:val="1"/>
      <w:keepLines w:val="1"/>
      <w:spacing w:after="120" w:before="360"/>
      <w:outlineLvl w:val="1"/>
    </w:pPr>
    <w:rPr>
      <w:sz w:val="32"/>
      <w:szCs w:val="32"/>
    </w:rPr>
  </w:style>
  <w:style w:type="paragraph" w:styleId="3">
    <w:name w:val="heading 3"/>
    <w:basedOn w:val="a"/>
    <w:next w:val="a"/>
    <w:uiPriority w:val="9"/>
    <w:semiHidden w:val="1"/>
    <w:unhideWhenUsed w:val="1"/>
    <w:qFormat w:val="1"/>
    <w:pPr>
      <w:keepNext w:val="1"/>
      <w:keepLines w:val="1"/>
      <w:spacing w:after="80" w:before="320"/>
      <w:outlineLvl w:val="2"/>
    </w:pPr>
    <w:rPr>
      <w:color w:val="434343"/>
      <w:sz w:val="28"/>
      <w:szCs w:val="28"/>
    </w:rPr>
  </w:style>
  <w:style w:type="paragraph" w:styleId="4">
    <w:name w:val="heading 4"/>
    <w:basedOn w:val="a"/>
    <w:next w:val="a"/>
    <w:uiPriority w:val="9"/>
    <w:semiHidden w:val="1"/>
    <w:unhideWhenUsed w:val="1"/>
    <w:qFormat w:val="1"/>
    <w:pPr>
      <w:keepNext w:val="1"/>
      <w:keepLines w:val="1"/>
      <w:spacing w:after="80" w:before="280"/>
      <w:outlineLvl w:val="3"/>
    </w:pPr>
    <w:rPr>
      <w:color w:val="666666"/>
      <w:sz w:val="24"/>
      <w:szCs w:val="24"/>
    </w:rPr>
  </w:style>
  <w:style w:type="paragraph" w:styleId="5">
    <w:name w:val="heading 5"/>
    <w:basedOn w:val="a"/>
    <w:next w:val="a"/>
    <w:uiPriority w:val="9"/>
    <w:semiHidden w:val="1"/>
    <w:unhideWhenUsed w:val="1"/>
    <w:qFormat w:val="1"/>
    <w:pPr>
      <w:keepNext w:val="1"/>
      <w:keepLines w:val="1"/>
      <w:spacing w:after="80" w:before="240"/>
      <w:outlineLvl w:val="4"/>
    </w:pPr>
    <w:rPr>
      <w:color w:val="666666"/>
    </w:rPr>
  </w:style>
  <w:style w:type="paragraph" w:styleId="6">
    <w:name w:val="heading 6"/>
    <w:basedOn w:val="a"/>
    <w:next w:val="a"/>
    <w:uiPriority w:val="9"/>
    <w:semiHidden w:val="1"/>
    <w:unhideWhenUsed w:val="1"/>
    <w:qFormat w:val="1"/>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60"/>
    </w:pPr>
    <w:rPr>
      <w:sz w:val="52"/>
      <w:szCs w:val="52"/>
    </w:rPr>
  </w:style>
  <w:style w:type="paragraph" w:styleId="a4">
    <w:name w:val="Subtitle"/>
    <w:basedOn w:val="a"/>
    <w:next w:val="a"/>
    <w:uiPriority w:val="11"/>
    <w:qFormat w:val="1"/>
    <w:pPr>
      <w:keepNext w:val="1"/>
      <w:keepLines w:val="1"/>
      <w:spacing w:after="320"/>
    </w:pPr>
    <w:rPr>
      <w:color w:val="666666"/>
      <w:sz w:val="30"/>
      <w:szCs w:val="30"/>
    </w:r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tadviser.ru/index.php/%D0%A1%D1%82%D0%B0%D1%82%D1%8C%D1%8F:%D0%A0%D0%BE%D1%81%D1%81%D0%B8%D0%B9%D1%81%D0%BA%D0%B8%D0%B9_%D1%80%D1%83%D0%B1%D0%BB%D1%8C"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tadviser.ru/index.php/%D0%9F%D0%B5%D1%80%D1%81%D0%BE%D0%BD%D0%B0:%D0%9C%D0%B8%D1%88%D1%83%D1%81%D1%82%D0%B8%D0%BD_%D0%9C%D0%B8%D1%85%D0%B0%D0%B8%D0%BB_%D0%92%D0%BB%D0%B0%D0%B4%D0%B8%D0%BC%D0%B8%D1%80%D0%BE%D0%B2%D0%B8%D1%8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CQ8otqrtHifyWQusbjYgbVrmA==">AMUW2mVwTllo1L5rGwcL7EIR9Pjx5fDJSHO5SZlTatN1FPVq5cW01ZZSA7vtQ6XTmIaYSrnCTRJ2hzX6wSOibAGS4ppFFoVL2tYRShYAx3dBM0KuiZsvskE=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2022-12-22T13:50:00Z</dcterms:created>
  <dc:creator>Екатерина Халимон</dc:creator>
</cp:coreProperties>
</file>