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0D20B" w14:textId="77777777" w:rsidR="00424352" w:rsidRDefault="00424352">
      <w:pPr>
        <w:widowControl w:val="0"/>
        <w:spacing w:after="160" w:line="259" w:lineRule="auto"/>
        <w:rPr>
          <w:smallCaps/>
          <w:sz w:val="20"/>
          <w:szCs w:val="20"/>
        </w:rPr>
      </w:pPr>
    </w:p>
    <w:p w14:paraId="0976CB7D" w14:textId="77777777" w:rsidR="00424352" w:rsidRDefault="00E43771">
      <w:pPr>
        <w:widowControl w:val="0"/>
        <w:spacing w:after="160" w:line="259" w:lineRule="auto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ФОРМА ПАСПОРТА СТАРТАП-ПРОЕКТА </w:t>
      </w:r>
    </w:p>
    <w:p w14:paraId="2D692592" w14:textId="77777777" w:rsidR="00424352" w:rsidRDefault="00424352">
      <w:pPr>
        <w:widowControl w:val="0"/>
        <w:spacing w:after="160" w:line="259" w:lineRule="auto"/>
        <w:rPr>
          <w:sz w:val="20"/>
          <w:szCs w:val="20"/>
        </w:rPr>
      </w:pPr>
    </w:p>
    <w:tbl>
      <w:tblPr>
        <w:tblStyle w:val="ab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424352" w14:paraId="1ACBB824" w14:textId="77777777">
        <w:tc>
          <w:tcPr>
            <w:tcW w:w="9740" w:type="dxa"/>
            <w:gridSpan w:val="2"/>
          </w:tcPr>
          <w:p w14:paraId="35D31D7E" w14:textId="77777777" w:rsidR="00424352" w:rsidRDefault="00424352">
            <w:pPr>
              <w:widowControl w:val="0"/>
              <w:tabs>
                <w:tab w:val="left" w:pos="432"/>
              </w:tabs>
              <w:ind w:left="720"/>
              <w:jc w:val="center"/>
              <w:rPr>
                <w:sz w:val="20"/>
                <w:szCs w:val="20"/>
              </w:rPr>
            </w:pPr>
          </w:p>
          <w:p w14:paraId="7F1F413D" w14:textId="77777777" w:rsidR="00424352" w:rsidRDefault="00E43771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стартап-проекте</w:t>
            </w:r>
          </w:p>
          <w:p w14:paraId="6D16B286" w14:textId="77777777" w:rsidR="00424352" w:rsidRDefault="00424352">
            <w:pPr>
              <w:widowControl w:val="0"/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</w:p>
        </w:tc>
      </w:tr>
      <w:tr w:rsidR="00424352" w14:paraId="2678AC33" w14:textId="77777777">
        <w:tc>
          <w:tcPr>
            <w:tcW w:w="3402" w:type="dxa"/>
          </w:tcPr>
          <w:p w14:paraId="1464017E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B00BDA8" w14:textId="347002EB" w:rsidR="00424352" w:rsidRPr="00134A5B" w:rsidRDefault="00E43771">
            <w:pPr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прак</w:t>
            </w:r>
            <w:r w:rsidR="009B6841">
              <w:rPr>
                <w:sz w:val="20"/>
                <w:szCs w:val="20"/>
              </w:rPr>
              <w:t>тико-ориентированная платформа «</w:t>
            </w:r>
            <w:r>
              <w:rPr>
                <w:sz w:val="20"/>
                <w:szCs w:val="20"/>
              </w:rPr>
              <w:t>Innovatio</w:t>
            </w:r>
            <w:r w:rsidR="00134A5B">
              <w:rPr>
                <w:sz w:val="20"/>
                <w:szCs w:val="20"/>
              </w:rPr>
              <w:t>_1.0</w:t>
            </w:r>
            <w:r w:rsidR="009B6841">
              <w:rPr>
                <w:sz w:val="20"/>
                <w:szCs w:val="20"/>
              </w:rPr>
              <w:t>»</w:t>
            </w:r>
            <w:r w:rsidR="00134A5B">
              <w:rPr>
                <w:sz w:val="20"/>
                <w:szCs w:val="20"/>
              </w:rPr>
              <w:t xml:space="preserve"> для формирования инженерных и цифровых компетенций у школьников </w:t>
            </w:r>
          </w:p>
        </w:tc>
      </w:tr>
      <w:tr w:rsidR="00424352" w14:paraId="089C5278" w14:textId="77777777">
        <w:tc>
          <w:tcPr>
            <w:tcW w:w="3402" w:type="dxa"/>
          </w:tcPr>
          <w:p w14:paraId="7E72F604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B550153" w14:textId="77777777" w:rsidR="00424352" w:rsidRDefault="00E4377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Гапеева Валерия Дмитриевна</w:t>
            </w:r>
          </w:p>
          <w:p w14:paraId="27208906" w14:textId="77777777" w:rsidR="00424352" w:rsidRDefault="00E4377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 Егор Константинович</w:t>
            </w:r>
          </w:p>
          <w:p w14:paraId="00639D75" w14:textId="3E71877E" w:rsidR="00424352" w:rsidRPr="00134A5B" w:rsidRDefault="00E43771" w:rsidP="00134A5B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Левшов Иван Вадимович</w:t>
            </w:r>
          </w:p>
        </w:tc>
      </w:tr>
      <w:tr w:rsidR="00424352" w14:paraId="09CF9C3D" w14:textId="77777777">
        <w:tc>
          <w:tcPr>
            <w:tcW w:w="3402" w:type="dxa"/>
          </w:tcPr>
          <w:p w14:paraId="70148B93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проект в информационной системе Projects</w:t>
            </w:r>
          </w:p>
        </w:tc>
        <w:tc>
          <w:tcPr>
            <w:tcW w:w="6338" w:type="dxa"/>
          </w:tcPr>
          <w:p w14:paraId="5F3B87A5" w14:textId="77D8AF9E" w:rsidR="00424352" w:rsidRDefault="008B6C5D">
            <w:pPr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hyperlink r:id="rId8" w:history="1">
              <w:r w:rsidRPr="00636C98">
                <w:rPr>
                  <w:rStyle w:val="af1"/>
                  <w:sz w:val="20"/>
                  <w:szCs w:val="20"/>
                </w:rPr>
                <w:t>https://pt.2035.university/project/cifrovaa-praktiko-orientirovannaa-platforma-innovatio10-dla-formirovania-inzenernyh-i-cifrovyh-kompetencij-u-skolnikov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24352" w14:paraId="39B2F528" w14:textId="77777777">
        <w:tc>
          <w:tcPr>
            <w:tcW w:w="3402" w:type="dxa"/>
          </w:tcPr>
          <w:p w14:paraId="7CA974B9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6D7B993F" w14:textId="6A567D8A" w:rsidR="00424352" w:rsidRPr="009B6841" w:rsidRDefault="009B6841" w:rsidP="00134A5B">
            <w:pPr>
              <w:spacing w:after="160"/>
              <w:jc w:val="both"/>
              <w:rPr>
                <w:sz w:val="20"/>
                <w:szCs w:val="20"/>
              </w:rPr>
            </w:pPr>
            <w:r w:rsidRPr="009B6841">
              <w:rPr>
                <w:sz w:val="20"/>
                <w:szCs w:val="20"/>
              </w:rPr>
              <w:t>TechNet</w:t>
            </w:r>
          </w:p>
        </w:tc>
      </w:tr>
      <w:tr w:rsidR="00424352" w14:paraId="579022C1" w14:textId="77777777">
        <w:tc>
          <w:tcPr>
            <w:tcW w:w="3402" w:type="dxa"/>
          </w:tcPr>
          <w:p w14:paraId="2173CF55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стартап-проекта</w:t>
            </w:r>
          </w:p>
          <w:p w14:paraId="72E5B483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(технология/ </w:t>
            </w:r>
            <w:r>
              <w:rPr>
                <w:b/>
                <w:sz w:val="20"/>
                <w:szCs w:val="20"/>
              </w:rPr>
              <w:t>услуга</w:t>
            </w:r>
            <w:r>
              <w:rPr>
                <w:sz w:val="20"/>
                <w:szCs w:val="20"/>
              </w:rPr>
              <w:t xml:space="preserve">/продукт) </w:t>
            </w:r>
          </w:p>
        </w:tc>
        <w:tc>
          <w:tcPr>
            <w:tcW w:w="6338" w:type="dxa"/>
          </w:tcPr>
          <w:p w14:paraId="20C2B2C5" w14:textId="32AFAD17" w:rsidR="00134A5B" w:rsidRPr="00134A5B" w:rsidRDefault="00E43771">
            <w:pPr>
              <w:shd w:val="clear" w:color="auto" w:fill="FFFFFF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 разработке цифровой платформы </w:t>
            </w:r>
            <w:r w:rsidR="009B6841">
              <w:rPr>
                <w:sz w:val="20"/>
                <w:szCs w:val="20"/>
              </w:rPr>
              <w:t>«Innovatio_1.0»</w:t>
            </w:r>
            <w:r>
              <w:rPr>
                <w:sz w:val="20"/>
                <w:szCs w:val="20"/>
              </w:rPr>
              <w:t xml:space="preserve"> видит своей главной целью </w:t>
            </w:r>
            <w:r w:rsidR="00134A5B">
              <w:rPr>
                <w:sz w:val="20"/>
                <w:szCs w:val="20"/>
              </w:rPr>
              <w:t xml:space="preserve">формирование у школьников инженерных и цифровых компетенций </w:t>
            </w:r>
            <w:r w:rsidR="00C5708F">
              <w:rPr>
                <w:sz w:val="20"/>
                <w:szCs w:val="20"/>
              </w:rPr>
              <w:t>(в период действия проекта «Передовые инженерные школы» и после его окончания для продолжения реализации накопленного опыта, его распространения)</w:t>
            </w:r>
          </w:p>
          <w:p w14:paraId="629DB75C" w14:textId="6C7CC602" w:rsidR="00424352" w:rsidRDefault="00E43771">
            <w:pPr>
              <w:shd w:val="clear" w:color="auto" w:fill="FFFFFF"/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Путем организации коммуникаций трех основных сторон, а именно: </w:t>
            </w:r>
            <w:r w:rsidR="00134A5B">
              <w:rPr>
                <w:sz w:val="20"/>
                <w:szCs w:val="20"/>
              </w:rPr>
              <w:t>школьников</w:t>
            </w:r>
            <w:r>
              <w:rPr>
                <w:sz w:val="20"/>
                <w:szCs w:val="20"/>
              </w:rPr>
              <w:t xml:space="preserve">, бизнес-организаций и представителей научного общества, планируется формирование «треугольника знаний», в рамках которого онлайн-платформа </w:t>
            </w:r>
            <w:r w:rsidR="009B6841">
              <w:rPr>
                <w:sz w:val="20"/>
                <w:szCs w:val="20"/>
              </w:rPr>
              <w:t xml:space="preserve">«Innovatio_1.0» </w:t>
            </w:r>
            <w:r>
              <w:rPr>
                <w:sz w:val="20"/>
                <w:szCs w:val="20"/>
              </w:rPr>
              <w:t xml:space="preserve">рассматривается как инструмент взаимодействия сферы </w:t>
            </w:r>
            <w:r w:rsidR="00134A5B">
              <w:rPr>
                <w:sz w:val="20"/>
                <w:szCs w:val="20"/>
              </w:rPr>
              <w:t xml:space="preserve">среднего, </w:t>
            </w:r>
            <w:r>
              <w:rPr>
                <w:sz w:val="20"/>
                <w:szCs w:val="20"/>
              </w:rPr>
              <w:t>высшего образования с организациями реального сектора экономики и научным обществом.</w:t>
            </w:r>
          </w:p>
        </w:tc>
      </w:tr>
      <w:tr w:rsidR="00424352" w14:paraId="59BAA748" w14:textId="77777777">
        <w:tc>
          <w:tcPr>
            <w:tcW w:w="3402" w:type="dxa"/>
          </w:tcPr>
          <w:p w14:paraId="4F923A40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37D197EB" w14:textId="406B7AF4" w:rsidR="00134A5B" w:rsidRPr="009B6841" w:rsidRDefault="00134A5B" w:rsidP="00C5708F">
            <w:pPr>
              <w:shd w:val="clear" w:color="auto" w:fill="FFFFFF"/>
              <w:spacing w:line="259" w:lineRule="auto"/>
              <w:jc w:val="both"/>
              <w:rPr>
                <w:sz w:val="20"/>
                <w:shd w:val="clear" w:color="auto" w:fill="FFFFFF"/>
              </w:rPr>
            </w:pPr>
            <w:r w:rsidRPr="009B6841">
              <w:rPr>
                <w:sz w:val="20"/>
                <w:shd w:val="clear" w:color="auto" w:fill="FFFFFF"/>
              </w:rPr>
              <w:t>В проект «Передовые инженерные школы»,</w:t>
            </w:r>
            <w:r w:rsidRPr="009B6841">
              <w:rPr>
                <w:rStyle w:val="apple-converted-space"/>
                <w:sz w:val="20"/>
                <w:shd w:val="clear" w:color="auto" w:fill="FFFFFF"/>
              </w:rPr>
              <w:t> </w:t>
            </w:r>
            <w:hyperlink r:id="rId9" w:history="1">
              <w:r w:rsidRPr="009B6841">
                <w:rPr>
                  <w:rStyle w:val="af1"/>
                  <w:color w:val="auto"/>
                  <w:sz w:val="20"/>
                  <w:u w:val="none"/>
                </w:rPr>
                <w:t>запущенный</w:t>
              </w:r>
            </w:hyperlink>
            <w:r w:rsidRPr="009B6841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9B6841">
              <w:rPr>
                <w:sz w:val="20"/>
                <w:shd w:val="clear" w:color="auto" w:fill="FFFFFF"/>
              </w:rPr>
              <w:t>в ходе</w:t>
            </w:r>
            <w:r w:rsidRPr="009B6841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9B6841">
              <w:rPr>
                <w:rStyle w:val="af1"/>
                <w:color w:val="auto"/>
                <w:sz w:val="20"/>
                <w:u w:val="none"/>
              </w:rPr>
              <w:t>Десятилетия науки и технологий</w:t>
            </w:r>
            <w:r w:rsidRPr="009B6841"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9B6841">
              <w:rPr>
                <w:sz w:val="20"/>
                <w:shd w:val="clear" w:color="auto" w:fill="FFFFFF"/>
              </w:rPr>
              <w:t>и направленный на подготовку квалифицированных инженерных кадров для высокотехнологичных отраслей экономики, попали 25 вузов, подведомственных Минобрнауки, три вуза Минздрава, один – Минсельхоза и один – Минцифры.</w:t>
            </w:r>
          </w:p>
          <w:p w14:paraId="3AA5A93F" w14:textId="77777777" w:rsidR="00E86EED" w:rsidRPr="009B6841" w:rsidRDefault="00E86EED" w:rsidP="00C5708F">
            <w:pPr>
              <w:pStyle w:val="af2"/>
              <w:spacing w:before="0" w:beforeAutospacing="0" w:after="0" w:afterAutospacing="0"/>
              <w:jc w:val="both"/>
              <w:rPr>
                <w:sz w:val="20"/>
              </w:rPr>
            </w:pPr>
            <w:r w:rsidRPr="009B6841">
              <w:rPr>
                <w:sz w:val="20"/>
              </w:rPr>
              <w:t>На данный момент участие в проекте принимают более 40 индустриальных партнёров, которые специализируются на информационных технологиях, финансах, добыче полезных ископаемых, тяжёлой металлургии, машиностроении, сельском хозяйстве.</w:t>
            </w:r>
          </w:p>
          <w:p w14:paraId="005A986B" w14:textId="77777777" w:rsidR="00E86EED" w:rsidRPr="009B6841" w:rsidRDefault="00E86EED" w:rsidP="00C5708F">
            <w:pPr>
              <w:pStyle w:val="af2"/>
              <w:spacing w:before="0" w:beforeAutospacing="0" w:after="0" w:afterAutospacing="0"/>
              <w:jc w:val="both"/>
              <w:rPr>
                <w:sz w:val="20"/>
              </w:rPr>
            </w:pPr>
            <w:r w:rsidRPr="009B6841">
              <w:rPr>
                <w:sz w:val="20"/>
              </w:rPr>
              <w:t>Среди них ПАО «КамАЗ», «Роскосмос», «Алмаз-Антей», «Сибур», «Газпром нефть», «Татнефть», «Норильск телеком», Объединённая двигательная корпорация, Завод электротехнического оборудования, Объединённая приборостроительная корпорация и другие.</w:t>
            </w:r>
          </w:p>
          <w:p w14:paraId="2E95F074" w14:textId="77777777" w:rsidR="00E86EED" w:rsidRPr="009B6841" w:rsidRDefault="00E86EED" w:rsidP="00C5708F">
            <w:pPr>
              <w:jc w:val="both"/>
              <w:rPr>
                <w:sz w:val="20"/>
              </w:rPr>
            </w:pPr>
          </w:p>
          <w:p w14:paraId="749380A1" w14:textId="6BE308D6" w:rsidR="00424352" w:rsidRPr="009B6841" w:rsidRDefault="00C5708F" w:rsidP="009B6841">
            <w:pPr>
              <w:pStyle w:val="value-cards-itemvalue"/>
              <w:spacing w:before="0" w:after="0" w:afterAutospacing="0"/>
              <w:jc w:val="both"/>
              <w:rPr>
                <w:sz w:val="20"/>
              </w:rPr>
            </w:pPr>
            <w:r w:rsidRPr="009B6841">
              <w:rPr>
                <w:rStyle w:val="af3"/>
                <w:sz w:val="20"/>
              </w:rPr>
              <w:t xml:space="preserve">Финансирование </w:t>
            </w:r>
            <w:r w:rsidR="00E86EED" w:rsidRPr="009B6841">
              <w:rPr>
                <w:rStyle w:val="af3"/>
                <w:sz w:val="20"/>
              </w:rPr>
              <w:t>33</w:t>
            </w:r>
            <w:r w:rsidR="00E86EED" w:rsidRPr="009B6841">
              <w:rPr>
                <w:rStyle w:val="apple-converted-space"/>
                <w:sz w:val="20"/>
              </w:rPr>
              <w:t> </w:t>
            </w:r>
            <w:r w:rsidR="00E86EED" w:rsidRPr="009B6841">
              <w:rPr>
                <w:b/>
                <w:bCs/>
                <w:sz w:val="20"/>
              </w:rPr>
              <w:t>млрд руб.</w:t>
            </w:r>
            <w:r w:rsidRPr="009B6841">
              <w:rPr>
                <w:b/>
                <w:bCs/>
                <w:sz w:val="20"/>
              </w:rPr>
              <w:t xml:space="preserve"> на период с 2022 по 2024 гг, </w:t>
            </w:r>
            <w:r w:rsidR="00E86EED" w:rsidRPr="009B6841">
              <w:rPr>
                <w:sz w:val="20"/>
              </w:rPr>
              <w:t>в том числе в 2022 году 2,5 млрд руб.</w:t>
            </w:r>
          </w:p>
        </w:tc>
      </w:tr>
      <w:tr w:rsidR="00424352" w14:paraId="103A8C02" w14:textId="77777777">
        <w:tc>
          <w:tcPr>
            <w:tcW w:w="3402" w:type="dxa"/>
          </w:tcPr>
          <w:p w14:paraId="68B06CAA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5345AB18" w14:textId="77777777" w:rsidR="00424352" w:rsidRDefault="00E437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не будет разработчика самой платформы.</w:t>
            </w:r>
          </w:p>
          <w:p w14:paraId="32C1A2CB" w14:textId="77777777" w:rsidR="00424352" w:rsidRDefault="00E437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возникнуть проблема с обработкой персональных данных.</w:t>
            </w:r>
          </w:p>
          <w:p w14:paraId="498F0EE0" w14:textId="77777777" w:rsidR="00424352" w:rsidRDefault="00E437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Трудности с коммуникациями между бизнесом и платформой.</w:t>
            </w:r>
          </w:p>
        </w:tc>
      </w:tr>
      <w:tr w:rsidR="00424352" w14:paraId="5FEE04D8" w14:textId="77777777">
        <w:tc>
          <w:tcPr>
            <w:tcW w:w="3402" w:type="dxa"/>
          </w:tcPr>
          <w:p w14:paraId="3119DA08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47CE2C50" w14:textId="77777777" w:rsidR="00424352" w:rsidRDefault="00E43771">
            <w:pPr>
              <w:widowControl w:val="0"/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проведенного интервью согласились пользоваться нашим MVP</w:t>
            </w:r>
          </w:p>
          <w:p w14:paraId="0EEE12BD" w14:textId="538E46DA" w:rsidR="00424352" w:rsidRDefault="00C5708F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Передовые инженерные школы</w:t>
            </w:r>
          </w:p>
          <w:p w14:paraId="14410552" w14:textId="141B08E8" w:rsidR="00C5708F" w:rsidRDefault="00C5708F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Университеты, принимающие участие в проекте</w:t>
            </w:r>
          </w:p>
          <w:p w14:paraId="14867FCB" w14:textId="1AA306C6" w:rsidR="00C5708F" w:rsidRDefault="00C5708F">
            <w:pPr>
              <w:widowControl w:val="0"/>
              <w:numPr>
                <w:ilvl w:val="0"/>
                <w:numId w:val="7"/>
              </w:numPr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Индустриальные партнеры, принимающие участие в проекте</w:t>
            </w:r>
          </w:p>
          <w:p w14:paraId="6C3169DF" w14:textId="723D2D51" w:rsidR="00C5708F" w:rsidRDefault="00C5708F" w:rsidP="009B6841">
            <w:pPr>
              <w:widowControl w:val="0"/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подробный список участников по ссылке: </w:t>
            </w:r>
            <w:r w:rsidRPr="009B6841">
              <w:rPr>
                <w:sz w:val="20"/>
              </w:rPr>
              <w:t>https://analytics.engineers2030.ru</w:t>
            </w:r>
          </w:p>
          <w:p w14:paraId="7BC56CDB" w14:textId="77777777" w:rsidR="00424352" w:rsidRDefault="00424352" w:rsidP="00C5708F">
            <w:pPr>
              <w:widowControl w:val="0"/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</w:p>
        </w:tc>
      </w:tr>
      <w:tr w:rsidR="00424352" w14:paraId="23D39048" w14:textId="77777777">
        <w:tc>
          <w:tcPr>
            <w:tcW w:w="3402" w:type="dxa"/>
          </w:tcPr>
          <w:p w14:paraId="493CB2E7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38A818FE" w14:textId="1D8080D3" w:rsidR="00424352" w:rsidRDefault="00E43771">
            <w:pPr>
              <w:widowControl w:val="0"/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первую очередь, маркетплейс, как и большинство сайтов, может зарабатывать на рекламе и продаже трафика. Например, можно разместить рекламные баннеры, при этом важно учитывать, что они не должны отвлекать пользователя от работы на платформе. Еще один способ монетизации – реализация модели дополнительного доступа. Бизнес-организация или преподаватель за определенную сумму может повысить свою позицию в списке кандидатов по ключевым параметрам. Альтернативой этого способа может являться платное снятие ограничения по максимальному количеству объявлений от одного пользователя. Например, организация может бесплатно разместить 3 </w:t>
            </w:r>
            <w:r w:rsidR="00C5708F">
              <w:rPr>
                <w:sz w:val="20"/>
                <w:szCs w:val="20"/>
              </w:rPr>
              <w:t>объявления</w:t>
            </w:r>
            <w:r>
              <w:rPr>
                <w:sz w:val="20"/>
                <w:szCs w:val="20"/>
              </w:rPr>
              <w:t xml:space="preserve"> </w:t>
            </w:r>
            <w:r w:rsidR="00C5708F">
              <w:rPr>
                <w:sz w:val="20"/>
                <w:szCs w:val="20"/>
              </w:rPr>
              <w:t>о наборе на программу обучения</w:t>
            </w:r>
            <w:r>
              <w:rPr>
                <w:sz w:val="20"/>
                <w:szCs w:val="20"/>
              </w:rPr>
              <w:t xml:space="preserve">, а при условии действующей месячной подписки, количество </w:t>
            </w:r>
            <w:r w:rsidR="009B6841">
              <w:rPr>
                <w:sz w:val="20"/>
                <w:szCs w:val="20"/>
              </w:rPr>
              <w:t>объ</w:t>
            </w:r>
            <w:r w:rsidR="00C5708F">
              <w:rPr>
                <w:sz w:val="20"/>
                <w:szCs w:val="20"/>
              </w:rPr>
              <w:t>явлений</w:t>
            </w:r>
            <w:r>
              <w:rPr>
                <w:sz w:val="20"/>
                <w:szCs w:val="20"/>
              </w:rPr>
              <w:t xml:space="preserve"> будет не ограничено. Наконец, самым простым способом получения прибыли является организация работы платформы для пользователей исключительно по платной месячной подписке, сумма которой будет варьироваться для каждой категории пользователя.</w:t>
            </w:r>
          </w:p>
        </w:tc>
      </w:tr>
      <w:tr w:rsidR="00424352" w14:paraId="2A8602D0" w14:textId="77777777">
        <w:tc>
          <w:tcPr>
            <w:tcW w:w="3402" w:type="dxa"/>
          </w:tcPr>
          <w:p w14:paraId="0652E2FE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34DACCAB" w14:textId="77777777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1.</w:t>
            </w:r>
            <w:r>
              <w:rPr>
                <w:color w:val="181818"/>
                <w:sz w:val="14"/>
                <w:szCs w:val="14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>Домашняя страница.</w:t>
            </w:r>
            <w:r>
              <w:rPr>
                <w:color w:val="181818"/>
                <w:sz w:val="20"/>
                <w:szCs w:val="20"/>
              </w:rPr>
              <w:t xml:space="preserve"> Внешний вид веб-портала, который включает UI / UX дизайн с реализацией CSS 2.0 / XHTML и SEO.</w:t>
            </w:r>
          </w:p>
          <w:p w14:paraId="48EA7DE8" w14:textId="77777777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>Объявления.</w:t>
            </w:r>
            <w:r>
              <w:rPr>
                <w:color w:val="181818"/>
                <w:sz w:val="20"/>
                <w:szCs w:val="20"/>
              </w:rPr>
              <w:t xml:space="preserve"> Типовые или специализированные шаблоны для создания объявлений, заточенные под конкретные отрасли и / или профессии. Должна быть возможность закрыть объявление (отправить в архив).</w:t>
            </w:r>
          </w:p>
          <w:p w14:paraId="66ED198D" w14:textId="2CC3D946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 xml:space="preserve">Справочник </w:t>
            </w:r>
            <w:r w:rsidR="00C5708F">
              <w:rPr>
                <w:b/>
                <w:color w:val="181818"/>
                <w:sz w:val="20"/>
                <w:szCs w:val="20"/>
              </w:rPr>
              <w:t>образовательных программ</w:t>
            </w:r>
            <w:r>
              <w:rPr>
                <w:b/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 xml:space="preserve"> Система поиска, с помощью которой </w:t>
            </w:r>
            <w:r w:rsidR="00C5708F">
              <w:rPr>
                <w:color w:val="181818"/>
                <w:sz w:val="20"/>
                <w:szCs w:val="20"/>
              </w:rPr>
              <w:t>образовательные организации</w:t>
            </w:r>
            <w:r>
              <w:rPr>
                <w:color w:val="181818"/>
                <w:sz w:val="20"/>
                <w:szCs w:val="20"/>
              </w:rPr>
              <w:t xml:space="preserve"> будут размещать объявления, а </w:t>
            </w:r>
            <w:r w:rsidR="00C5708F">
              <w:rPr>
                <w:color w:val="181818"/>
                <w:sz w:val="20"/>
                <w:szCs w:val="20"/>
              </w:rPr>
              <w:t>школьники</w:t>
            </w:r>
            <w:r>
              <w:rPr>
                <w:color w:val="181818"/>
                <w:sz w:val="20"/>
                <w:szCs w:val="20"/>
              </w:rPr>
              <w:t xml:space="preserve"> — искать </w:t>
            </w:r>
            <w:r w:rsidR="00C5708F">
              <w:rPr>
                <w:color w:val="181818"/>
                <w:sz w:val="20"/>
                <w:szCs w:val="20"/>
              </w:rPr>
              <w:t>образовательные программы</w:t>
            </w:r>
            <w:r>
              <w:rPr>
                <w:color w:val="181818"/>
                <w:sz w:val="20"/>
                <w:szCs w:val="20"/>
              </w:rPr>
              <w:t xml:space="preserve"> с помощью ключевых слов, фильтров, категорий и с учетом местоположения </w:t>
            </w:r>
            <w:r w:rsidR="00C5708F">
              <w:rPr>
                <w:color w:val="181818"/>
                <w:sz w:val="20"/>
                <w:szCs w:val="20"/>
              </w:rPr>
              <w:t>образовательной организации</w:t>
            </w:r>
            <w:r>
              <w:rPr>
                <w:color w:val="181818"/>
                <w:sz w:val="20"/>
                <w:szCs w:val="20"/>
              </w:rPr>
              <w:t>.</w:t>
            </w:r>
          </w:p>
          <w:p w14:paraId="30FA221F" w14:textId="63A6620D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 xml:space="preserve">Панель </w:t>
            </w:r>
            <w:r w:rsidR="008D1211">
              <w:rPr>
                <w:b/>
                <w:color w:val="181818"/>
                <w:sz w:val="20"/>
                <w:szCs w:val="20"/>
              </w:rPr>
              <w:t>слушателя</w:t>
            </w:r>
            <w:r>
              <w:rPr>
                <w:b/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 xml:space="preserve"> Функции, которые позволят ищущим </w:t>
            </w:r>
            <w:r w:rsidR="00C5708F">
              <w:rPr>
                <w:color w:val="181818"/>
                <w:sz w:val="20"/>
                <w:szCs w:val="20"/>
              </w:rPr>
              <w:t>образовательную программу</w:t>
            </w:r>
            <w:r>
              <w:rPr>
                <w:color w:val="181818"/>
                <w:sz w:val="20"/>
                <w:szCs w:val="20"/>
              </w:rPr>
              <w:t xml:space="preserve"> зарегистрироваться и настроить персональную страницу, где можно будет создать резюме (портфолио), отправлять сообщения и просматривать историю событий.</w:t>
            </w:r>
          </w:p>
          <w:p w14:paraId="06FBC852" w14:textId="272717F1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>Онлайн-резюме.</w:t>
            </w:r>
            <w:r>
              <w:rPr>
                <w:color w:val="181818"/>
                <w:sz w:val="20"/>
                <w:szCs w:val="20"/>
              </w:rPr>
              <w:t xml:space="preserve"> Отдельная страница, где </w:t>
            </w:r>
            <w:r w:rsidR="008D1211">
              <w:rPr>
                <w:color w:val="181818"/>
                <w:sz w:val="20"/>
                <w:szCs w:val="20"/>
              </w:rPr>
              <w:t>слушатели</w:t>
            </w:r>
            <w:r>
              <w:rPr>
                <w:color w:val="181818"/>
                <w:sz w:val="20"/>
                <w:szCs w:val="20"/>
              </w:rPr>
              <w:t xml:space="preserve"> могут создать резюме, указав ключевую информацию об образовании, </w:t>
            </w:r>
            <w:r w:rsidR="008D1211">
              <w:rPr>
                <w:color w:val="181818"/>
                <w:sz w:val="20"/>
                <w:szCs w:val="20"/>
              </w:rPr>
              <w:t>компетенциях</w:t>
            </w:r>
            <w:r>
              <w:rPr>
                <w:color w:val="181818"/>
                <w:sz w:val="20"/>
                <w:szCs w:val="20"/>
              </w:rPr>
              <w:t>, опыте, предпочтениях, посещенных тренингах / курсах и прочем. Также должна быть возможность загрузить резюме и отправить его по электронной почте.</w:t>
            </w:r>
          </w:p>
          <w:p w14:paraId="0440A917" w14:textId="281863C0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Портфолио </w:t>
            </w:r>
            <w:r w:rsidR="008D1211">
              <w:rPr>
                <w:color w:val="181818"/>
                <w:sz w:val="20"/>
                <w:szCs w:val="20"/>
              </w:rPr>
              <w:t>слушателя,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="008D1211">
              <w:rPr>
                <w:color w:val="181818"/>
                <w:sz w:val="20"/>
                <w:szCs w:val="20"/>
              </w:rPr>
              <w:t>т</w:t>
            </w:r>
            <w:r>
              <w:rPr>
                <w:color w:val="181818"/>
                <w:sz w:val="20"/>
                <w:szCs w:val="20"/>
              </w:rPr>
              <w:t>о есть все достижения</w:t>
            </w:r>
            <w:r w:rsidR="008D1211">
              <w:rPr>
                <w:color w:val="181818"/>
                <w:sz w:val="20"/>
                <w:szCs w:val="20"/>
              </w:rPr>
              <w:t xml:space="preserve"> </w:t>
            </w:r>
            <w:r>
              <w:rPr>
                <w:color w:val="181818"/>
                <w:sz w:val="20"/>
                <w:szCs w:val="20"/>
              </w:rPr>
              <w:t>и так далее.</w:t>
            </w:r>
          </w:p>
          <w:p w14:paraId="3FA38CC8" w14:textId="60A0AB7D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 xml:space="preserve">Заявка на прием на </w:t>
            </w:r>
            <w:r w:rsidR="008D1211">
              <w:rPr>
                <w:b/>
                <w:color w:val="181818"/>
                <w:sz w:val="20"/>
                <w:szCs w:val="20"/>
              </w:rPr>
              <w:t>обучение</w:t>
            </w:r>
            <w:r>
              <w:rPr>
                <w:b/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 xml:space="preserve"> Когда с</w:t>
            </w:r>
            <w:r w:rsidR="008D1211">
              <w:rPr>
                <w:color w:val="181818"/>
                <w:sz w:val="20"/>
                <w:szCs w:val="20"/>
              </w:rPr>
              <w:t>лушатель</w:t>
            </w:r>
            <w:r>
              <w:rPr>
                <w:color w:val="181818"/>
                <w:sz w:val="20"/>
                <w:szCs w:val="20"/>
              </w:rPr>
              <w:t xml:space="preserve"> найдет подходящее объявление о </w:t>
            </w:r>
            <w:r w:rsidR="008D1211">
              <w:rPr>
                <w:color w:val="181818"/>
                <w:sz w:val="20"/>
                <w:szCs w:val="20"/>
              </w:rPr>
              <w:t>образовательной программе</w:t>
            </w:r>
            <w:r>
              <w:rPr>
                <w:color w:val="181818"/>
                <w:sz w:val="20"/>
                <w:szCs w:val="20"/>
              </w:rPr>
              <w:t>, у него должна быть возможность создать заявку, написав несколько абзацев текста и прикрепив онлайн-резюме.</w:t>
            </w:r>
          </w:p>
          <w:p w14:paraId="005C9BB1" w14:textId="72DD677E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 xml:space="preserve">Панель </w:t>
            </w:r>
            <w:r w:rsidR="008D1211">
              <w:rPr>
                <w:b/>
                <w:color w:val="181818"/>
                <w:sz w:val="20"/>
                <w:szCs w:val="20"/>
              </w:rPr>
              <w:t>индустриального партнера</w:t>
            </w:r>
            <w:r>
              <w:rPr>
                <w:b/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 xml:space="preserve"> Регистрация </w:t>
            </w:r>
            <w:r w:rsidR="008D1211">
              <w:rPr>
                <w:color w:val="181818"/>
                <w:sz w:val="20"/>
                <w:szCs w:val="20"/>
              </w:rPr>
              <w:t>партнера</w:t>
            </w:r>
            <w:r>
              <w:rPr>
                <w:color w:val="181818"/>
                <w:sz w:val="20"/>
                <w:szCs w:val="20"/>
              </w:rPr>
              <w:t xml:space="preserve"> (желательно с обязательным подтверждением администраторов вашего портала), создание объявлений о </w:t>
            </w:r>
            <w:r w:rsidR="008D1211">
              <w:rPr>
                <w:color w:val="181818"/>
                <w:sz w:val="20"/>
                <w:szCs w:val="20"/>
              </w:rPr>
              <w:t>готовности дать базу для практического закрепления компетенций</w:t>
            </w:r>
            <w:r>
              <w:rPr>
                <w:color w:val="181818"/>
                <w:sz w:val="20"/>
                <w:szCs w:val="20"/>
              </w:rPr>
              <w:t xml:space="preserve"> и публичная страница с ключевой информацией о компании.</w:t>
            </w:r>
          </w:p>
          <w:p w14:paraId="7BCD9044" w14:textId="52E9CA92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 xml:space="preserve">Менеджер </w:t>
            </w:r>
            <w:r w:rsidR="008D1211">
              <w:rPr>
                <w:b/>
                <w:color w:val="181818"/>
                <w:sz w:val="20"/>
                <w:szCs w:val="20"/>
              </w:rPr>
              <w:t>индустриального партнера</w:t>
            </w:r>
            <w:r>
              <w:rPr>
                <w:b/>
                <w:color w:val="181818"/>
                <w:sz w:val="20"/>
                <w:szCs w:val="20"/>
              </w:rPr>
              <w:t>.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 w:rsidR="008D1211">
              <w:rPr>
                <w:color w:val="181818"/>
                <w:sz w:val="20"/>
                <w:szCs w:val="20"/>
              </w:rPr>
              <w:t>Занимается поиском и отбором слушателей и образовательных организаций/образовательных программ.</w:t>
            </w:r>
          </w:p>
          <w:p w14:paraId="18247F09" w14:textId="77777777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9.</w:t>
            </w:r>
            <w:r>
              <w:rPr>
                <w:color w:val="181818"/>
                <w:sz w:val="20"/>
                <w:szCs w:val="20"/>
              </w:rPr>
              <w:tab/>
            </w:r>
            <w:r>
              <w:rPr>
                <w:b/>
                <w:color w:val="181818"/>
                <w:sz w:val="20"/>
                <w:szCs w:val="20"/>
              </w:rPr>
              <w:t>Платежные сервисы.</w:t>
            </w:r>
            <w:r>
              <w:rPr>
                <w:color w:val="181818"/>
                <w:sz w:val="20"/>
                <w:szCs w:val="20"/>
              </w:rPr>
              <w:t xml:space="preserve"> Интеграция с платежными шлюзами через API и / или утилитарная платежная система, которые позволят принимать финансовые платежи от пользователей за размещение рекламы, продвижение их объявлений и другие услуги. Кроме того, интеграция с платежными сервисами позволит стать посредниками при финансовых расчетах между пользователями платформы.</w:t>
            </w:r>
          </w:p>
          <w:p w14:paraId="4B2A4792" w14:textId="77777777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Премиум подписка.</w:t>
            </w:r>
          </w:p>
          <w:p w14:paraId="30089AEF" w14:textId="73743EE6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10.          </w:t>
            </w:r>
            <w:r>
              <w:rPr>
                <w:b/>
                <w:color w:val="181818"/>
                <w:sz w:val="20"/>
                <w:szCs w:val="20"/>
              </w:rPr>
              <w:t>Онлайн-сообщения.</w:t>
            </w:r>
            <w:r>
              <w:rPr>
                <w:color w:val="181818"/>
                <w:sz w:val="20"/>
                <w:szCs w:val="20"/>
              </w:rPr>
              <w:t xml:space="preserve"> Встроенный мессенджер, который позволит </w:t>
            </w:r>
            <w:r w:rsidR="008D1211">
              <w:rPr>
                <w:color w:val="181818"/>
                <w:sz w:val="20"/>
                <w:szCs w:val="20"/>
              </w:rPr>
              <w:t>пользователям</w:t>
            </w:r>
            <w:r>
              <w:rPr>
                <w:color w:val="181818"/>
                <w:sz w:val="20"/>
                <w:szCs w:val="20"/>
              </w:rPr>
              <w:t xml:space="preserve"> общаться в режиме реального времени. Желательно встроить функцию оповещения о новых сообщениях через </w:t>
            </w:r>
            <w:r>
              <w:rPr>
                <w:color w:val="181818"/>
                <w:sz w:val="20"/>
                <w:szCs w:val="20"/>
              </w:rPr>
              <w:lastRenderedPageBreak/>
              <w:t>электронную почту, Viber, WhatsApp, Вк или другим способом.</w:t>
            </w:r>
          </w:p>
          <w:p w14:paraId="552C9612" w14:textId="77777777" w:rsidR="00424352" w:rsidRDefault="00E43771">
            <w:pPr>
              <w:widowControl w:val="0"/>
              <w:shd w:val="clear" w:color="auto" w:fill="FFFFFF"/>
              <w:tabs>
                <w:tab w:val="left" w:pos="432"/>
              </w:tabs>
              <w:jc w:val="both"/>
              <w:rPr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11.          </w:t>
            </w:r>
            <w:r>
              <w:rPr>
                <w:b/>
                <w:color w:val="181818"/>
                <w:sz w:val="20"/>
                <w:szCs w:val="20"/>
              </w:rPr>
              <w:t>Панель администратора.</w:t>
            </w:r>
            <w:r>
              <w:rPr>
                <w:color w:val="181818"/>
                <w:sz w:val="20"/>
                <w:szCs w:val="20"/>
              </w:rPr>
              <w:t xml:space="preserve"> Личный кабинет, где администратор может настраивать сайт, управлять контентом, отслеживать и редактировать объявления и общаться с пользователями.</w:t>
            </w:r>
          </w:p>
        </w:tc>
      </w:tr>
      <w:tr w:rsidR="00424352" w14:paraId="50538914" w14:textId="77777777">
        <w:trPr>
          <w:trHeight w:val="553"/>
        </w:trPr>
        <w:tc>
          <w:tcPr>
            <w:tcW w:w="9740" w:type="dxa"/>
            <w:gridSpan w:val="2"/>
          </w:tcPr>
          <w:p w14:paraId="7226A9F8" w14:textId="77777777" w:rsidR="00424352" w:rsidRDefault="00E43771">
            <w:pPr>
              <w:widowControl w:val="0"/>
              <w:spacing w:before="278"/>
              <w:ind w:left="360" w:firstLine="5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424352" w14:paraId="5C8E0C1E" w14:textId="77777777">
        <w:tc>
          <w:tcPr>
            <w:tcW w:w="3402" w:type="dxa"/>
          </w:tcPr>
          <w:p w14:paraId="2FBE9304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D1AD69F" w14:textId="77777777" w:rsidR="00424352" w:rsidRDefault="00424352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</w:p>
          <w:p w14:paraId="49A86741" w14:textId="18909895" w:rsidR="00424352" w:rsidRDefault="009B6841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</w:t>
            </w:r>
            <w:r w:rsidR="00E43771">
              <w:rPr>
                <w:sz w:val="20"/>
                <w:szCs w:val="20"/>
              </w:rPr>
              <w:t xml:space="preserve"> рублей </w:t>
            </w:r>
          </w:p>
        </w:tc>
      </w:tr>
      <w:tr w:rsidR="00424352" w14:paraId="35EE5206" w14:textId="77777777">
        <w:trPr>
          <w:trHeight w:val="415"/>
        </w:trPr>
        <w:tc>
          <w:tcPr>
            <w:tcW w:w="3402" w:type="dxa"/>
          </w:tcPr>
          <w:p w14:paraId="5073BD21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32B79DA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средства, инвестиции от бизнес-ангелов</w:t>
            </w:r>
          </w:p>
        </w:tc>
      </w:tr>
      <w:tr w:rsidR="00424352" w14:paraId="1717096C" w14:textId="77777777">
        <w:trPr>
          <w:trHeight w:val="690"/>
        </w:trPr>
        <w:tc>
          <w:tcPr>
            <w:tcW w:w="3402" w:type="dxa"/>
          </w:tcPr>
          <w:p w14:paraId="12CD8202" w14:textId="77777777" w:rsidR="00424352" w:rsidRDefault="00E43771">
            <w:pPr>
              <w:tabs>
                <w:tab w:val="left" w:pos="414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71013854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 темп роста совокупной выручки участников рынка аутсорсинга бизнес-процессов в 2019 г.</w:t>
            </w:r>
          </w:p>
          <w:p w14:paraId="56DAD1CB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московских компаний использовали аутсорсинг в 2020 г.</w:t>
            </w:r>
          </w:p>
          <w:p w14:paraId="23AF4C83" w14:textId="2C8E20B0" w:rsidR="009A4B1C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компаний задумываются о переходе </w:t>
            </w:r>
            <w:r>
              <w:rPr>
                <w:sz w:val="20"/>
                <w:szCs w:val="20"/>
              </w:rPr>
              <w:br/>
              <w:t>на аутсорсинг или уже занимаются этим вопросом</w:t>
            </w:r>
            <w:r w:rsidR="009B6841">
              <w:rPr>
                <w:sz w:val="20"/>
                <w:szCs w:val="20"/>
              </w:rPr>
              <w:t>.</w:t>
            </w:r>
          </w:p>
        </w:tc>
      </w:tr>
    </w:tbl>
    <w:p w14:paraId="69D120D1" w14:textId="77777777" w:rsidR="00424352" w:rsidRDefault="00424352">
      <w:pPr>
        <w:spacing w:after="160" w:line="259" w:lineRule="auto"/>
        <w:rPr>
          <w:sz w:val="20"/>
          <w:szCs w:val="20"/>
        </w:rPr>
      </w:pPr>
    </w:p>
    <w:tbl>
      <w:tblPr>
        <w:tblStyle w:val="ac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424352" w14:paraId="287CB4EE" w14:textId="77777777">
        <w:tc>
          <w:tcPr>
            <w:tcW w:w="9740" w:type="dxa"/>
          </w:tcPr>
          <w:p w14:paraId="16E4CEB1" w14:textId="77777777" w:rsidR="00424352" w:rsidRDefault="00E43771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d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424352" w14:paraId="1C1B551B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DA0AD4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DE5F80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028E56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424352" w14:paraId="29274CCF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CBACF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регистрация юридического лица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7746A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F9B87D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24352" w14:paraId="286CF940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A59EB" w14:textId="77777777" w:rsidR="00424352" w:rsidRDefault="00E43771">
                  <w:pPr>
                    <w:spacing w:after="12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2 товарных знаков компании: название и логотип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87977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8B60D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</w:t>
                  </w:r>
                </w:p>
              </w:tc>
            </w:tr>
            <w:tr w:rsidR="00424352" w14:paraId="20C78275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2CEA2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 в уставный капитал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E1A82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BB83B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</w:t>
                  </w:r>
                </w:p>
              </w:tc>
            </w:tr>
            <w:tr w:rsidR="00424352" w14:paraId="2C09FC58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47FDF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Поиск помещения, оформление договора аренды (50 м</w:t>
                  </w:r>
                  <w:r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A5EC8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31785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1 440 000 в год</w:t>
                  </w:r>
                </w:p>
              </w:tc>
            </w:tr>
            <w:tr w:rsidR="00424352" w14:paraId="784C5136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28A32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Оборудование офиса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C6BEB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4E259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595 203</w:t>
                  </w:r>
                </w:p>
              </w:tc>
            </w:tr>
            <w:tr w:rsidR="00424352" w14:paraId="7303A54D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47F80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сайта и его регистрация (привлечение IT-специалиста)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C2724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3-4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68185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561 500</w:t>
                  </w:r>
                </w:p>
              </w:tc>
            </w:tr>
            <w:tr w:rsidR="00424352" w14:paraId="0405CAF7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980F1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Поиск деловых партнеров, заключение договоров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049510" w14:textId="77777777" w:rsidR="00424352" w:rsidRDefault="00E43771">
                  <w:pPr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755DC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90 000</w:t>
                  </w:r>
                </w:p>
              </w:tc>
            </w:tr>
            <w:tr w:rsidR="00424352" w14:paraId="1955D13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82AE3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Привлечение студентов (проведение мероприятий)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A23969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3-4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116D5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80 000</w:t>
                  </w:r>
                </w:p>
              </w:tc>
            </w:tr>
            <w:tr w:rsidR="00424352" w14:paraId="6B61896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894D6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Разработка рекламной кампании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28565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2-3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44619C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140 000</w:t>
                  </w:r>
                </w:p>
              </w:tc>
            </w:tr>
            <w:tr w:rsidR="00424352" w14:paraId="1A4C10BB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1AF5B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Размещение рекламы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10F5AC" w14:textId="77777777" w:rsidR="00424352" w:rsidRDefault="00424352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ADA97D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600 000</w:t>
                  </w:r>
                </w:p>
              </w:tc>
            </w:tr>
            <w:tr w:rsidR="00424352" w14:paraId="568A9F8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A941F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Доработка платформы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16053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1-2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91BC1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 300 000</w:t>
                  </w:r>
                </w:p>
              </w:tc>
            </w:tr>
          </w:tbl>
          <w:p w14:paraId="1F167414" w14:textId="77777777" w:rsidR="00424352" w:rsidRDefault="00424352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</w:p>
          <w:p w14:paraId="3B6FF709" w14:textId="77777777" w:rsidR="00424352" w:rsidRDefault="00E43771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3 882 703</w:t>
            </w:r>
          </w:p>
          <w:p w14:paraId="5164F0F5" w14:textId="77777777" w:rsidR="00424352" w:rsidRDefault="00424352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</w:p>
        </w:tc>
      </w:tr>
    </w:tbl>
    <w:p w14:paraId="5335E4B4" w14:textId="77777777" w:rsidR="00424352" w:rsidRDefault="00424352">
      <w:pPr>
        <w:spacing w:after="160" w:line="259" w:lineRule="auto"/>
        <w:rPr>
          <w:sz w:val="20"/>
          <w:szCs w:val="20"/>
        </w:rPr>
      </w:pPr>
    </w:p>
    <w:tbl>
      <w:tblPr>
        <w:tblStyle w:val="ae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424352" w14:paraId="1414E866" w14:textId="77777777">
        <w:tc>
          <w:tcPr>
            <w:tcW w:w="9740" w:type="dxa"/>
          </w:tcPr>
          <w:p w14:paraId="5593A9DA" w14:textId="77777777" w:rsidR="00424352" w:rsidRDefault="00E43771">
            <w:pPr>
              <w:numPr>
                <w:ilvl w:val="0"/>
                <w:numId w:val="10"/>
              </w:numPr>
              <w:spacing w:before="24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f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424352" w14:paraId="69C58ED9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7EF95" w14:textId="77777777" w:rsidR="00424352" w:rsidRDefault="00E43771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EE360" w14:textId="77777777" w:rsidR="00424352" w:rsidRDefault="00424352">
                  <w:pPr>
                    <w:widowControl w:val="0"/>
                    <w:spacing w:after="160" w:line="259" w:lineRule="auto"/>
                    <w:ind w:firstLine="360"/>
                    <w:rPr>
                      <w:sz w:val="20"/>
                      <w:szCs w:val="20"/>
                    </w:rPr>
                  </w:pPr>
                </w:p>
              </w:tc>
            </w:tr>
            <w:tr w:rsidR="00424352" w14:paraId="434CBE8E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604C8" w14:textId="77777777" w:rsidR="00424352" w:rsidRDefault="004243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2405B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9B926A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424352" w14:paraId="54863A57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72373" w14:textId="77777777" w:rsidR="00424352" w:rsidRDefault="00E43771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Гапеева</w:t>
                  </w:r>
                </w:p>
                <w:p w14:paraId="4857F920" w14:textId="77777777" w:rsidR="00424352" w:rsidRDefault="00E43771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Зорин</w:t>
                  </w:r>
                </w:p>
                <w:p w14:paraId="71FD0E53" w14:textId="77777777" w:rsidR="00424352" w:rsidRDefault="00E43771">
                  <w:pPr>
                    <w:widowControl w:val="0"/>
                    <w:numPr>
                      <w:ilvl w:val="0"/>
                      <w:numId w:val="2"/>
                    </w:num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Левшов</w:t>
                  </w:r>
                </w:p>
                <w:p w14:paraId="1A95F714" w14:textId="77777777" w:rsidR="00424352" w:rsidRDefault="00424352" w:rsidP="008D1211">
                  <w:pPr>
                    <w:widowControl w:val="0"/>
                    <w:spacing w:after="160" w:line="259" w:lineRule="auto"/>
                    <w:ind w:left="7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4813A" w14:textId="3FAEC474" w:rsidR="00424352" w:rsidRDefault="008D1211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3400</w:t>
                  </w:r>
                </w:p>
                <w:p w14:paraId="274E4213" w14:textId="33D91557" w:rsidR="00424352" w:rsidRDefault="008D1211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3300</w:t>
                  </w:r>
                </w:p>
                <w:p w14:paraId="004988A1" w14:textId="17CB6DF6" w:rsidR="00424352" w:rsidRDefault="008D1211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3300</w:t>
                  </w:r>
                </w:p>
                <w:p w14:paraId="6B6414C1" w14:textId="4D9DE3D5" w:rsidR="00424352" w:rsidRDefault="00424352" w:rsidP="008D121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D17F6" w14:textId="791E017E" w:rsidR="00424352" w:rsidRDefault="008D1211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  <w:p w14:paraId="4F0D2F47" w14:textId="2CA9B47F" w:rsidR="00424352" w:rsidRDefault="008D1211">
                  <w:pPr>
                    <w:widowControl w:val="0"/>
                    <w:numPr>
                      <w:ilvl w:val="0"/>
                      <w:numId w:val="3"/>
                    </w:numP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  <w:p w14:paraId="47DB9AD2" w14:textId="57610831" w:rsidR="00424352" w:rsidRDefault="008D1211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</w:p>
                <w:p w14:paraId="0346F734" w14:textId="3D3A39F8" w:rsidR="00424352" w:rsidRDefault="00424352" w:rsidP="008D1211">
                  <w:pPr>
                    <w:widowControl w:val="0"/>
                    <w:spacing w:after="160" w:line="259" w:lineRule="auto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  <w:tr w:rsidR="00424352" w14:paraId="6259E2AB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8FB24" w14:textId="77777777" w:rsidR="00424352" w:rsidRDefault="00E43771">
                  <w:pPr>
                    <w:widowControl w:val="0"/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477544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6A555F" w14:textId="77777777" w:rsidR="00424352" w:rsidRDefault="00E43771">
                  <w:pPr>
                    <w:widowControl w:val="0"/>
                    <w:spacing w:after="160" w:line="259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D59AD10" w14:textId="77777777" w:rsidR="00424352" w:rsidRDefault="00424352">
            <w:pPr>
              <w:spacing w:after="160" w:line="259" w:lineRule="auto"/>
              <w:jc w:val="both"/>
              <w:rPr>
                <w:sz w:val="20"/>
                <w:szCs w:val="20"/>
              </w:rPr>
            </w:pPr>
          </w:p>
          <w:p w14:paraId="64510AB7" w14:textId="77777777" w:rsidR="00424352" w:rsidRDefault="00424352">
            <w:pPr>
              <w:spacing w:after="160" w:line="259" w:lineRule="auto"/>
              <w:ind w:firstLine="360"/>
              <w:jc w:val="both"/>
              <w:rPr>
                <w:sz w:val="20"/>
                <w:szCs w:val="20"/>
              </w:rPr>
            </w:pPr>
          </w:p>
        </w:tc>
      </w:tr>
    </w:tbl>
    <w:p w14:paraId="01244356" w14:textId="77777777" w:rsidR="00424352" w:rsidRDefault="00424352">
      <w:pPr>
        <w:spacing w:after="160" w:line="259" w:lineRule="auto"/>
        <w:rPr>
          <w:sz w:val="20"/>
          <w:szCs w:val="20"/>
        </w:rPr>
      </w:pPr>
    </w:p>
    <w:tbl>
      <w:tblPr>
        <w:tblStyle w:val="af0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424352" w14:paraId="66F82567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7E925" w14:textId="77777777" w:rsidR="00424352" w:rsidRDefault="00E43771">
            <w:pPr>
              <w:widowControl w:val="0"/>
              <w:numPr>
                <w:ilvl w:val="0"/>
                <w:numId w:val="10"/>
              </w:num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424352" w14:paraId="4A443DE1" w14:textId="77777777">
        <w:trPr>
          <w:trHeight w:val="509"/>
        </w:trPr>
        <w:tc>
          <w:tcPr>
            <w:tcW w:w="1973" w:type="dxa"/>
            <w:vAlign w:val="center"/>
          </w:tcPr>
          <w:p w14:paraId="58BFDA7A" w14:textId="77777777" w:rsidR="00424352" w:rsidRDefault="00E43771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532D500A" w14:textId="3178E844" w:rsidR="00424352" w:rsidRDefault="00E43771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</w:t>
            </w:r>
            <w:r w:rsidR="009B6841">
              <w:rPr>
                <w:sz w:val="20"/>
                <w:szCs w:val="20"/>
              </w:rPr>
              <w:t xml:space="preserve">роль)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461AF" w14:textId="77777777" w:rsidR="00424352" w:rsidRDefault="00E43771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42615" w14:textId="77777777" w:rsidR="00424352" w:rsidRDefault="00E43771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7435AD3F" w14:textId="77777777" w:rsidR="00424352" w:rsidRDefault="00E43771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Образование/опыт работы</w:t>
            </w:r>
          </w:p>
        </w:tc>
      </w:tr>
      <w:tr w:rsidR="00424352" w14:paraId="067BEA34" w14:textId="77777777">
        <w:trPr>
          <w:trHeight w:val="557"/>
        </w:trPr>
        <w:tc>
          <w:tcPr>
            <w:tcW w:w="1973" w:type="dxa"/>
          </w:tcPr>
          <w:p w14:paraId="3706B230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Гапеева Валерия Дмитриевна</w:t>
            </w:r>
          </w:p>
        </w:tc>
        <w:tc>
          <w:tcPr>
            <w:tcW w:w="1713" w:type="dxa"/>
          </w:tcPr>
          <w:p w14:paraId="16EE9FED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9FB52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8(916)252-78-88</w:t>
            </w:r>
          </w:p>
          <w:p w14:paraId="71AB69C7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valeria.gapeeva@mail.ru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5F433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команды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761A92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бакалавриат, </w:t>
            </w:r>
          </w:p>
          <w:p w14:paraId="08E64F46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</w:tr>
      <w:tr w:rsidR="00424352" w14:paraId="5C644059" w14:textId="77777777">
        <w:trPr>
          <w:trHeight w:val="577"/>
        </w:trPr>
        <w:tc>
          <w:tcPr>
            <w:tcW w:w="1973" w:type="dxa"/>
          </w:tcPr>
          <w:p w14:paraId="5AD48217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Левшов Иван Вадимович</w:t>
            </w:r>
          </w:p>
        </w:tc>
        <w:tc>
          <w:tcPr>
            <w:tcW w:w="1713" w:type="dxa"/>
          </w:tcPr>
          <w:p w14:paraId="258F84D9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контролер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8402B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8(965)178-54-66</w:t>
            </w:r>
          </w:p>
          <w:p w14:paraId="21F2621A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levshovi@mail.ru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A46ED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FD6E1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бакалавриат, </w:t>
            </w:r>
          </w:p>
          <w:p w14:paraId="5A9334FA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</w:tr>
      <w:tr w:rsidR="00424352" w14:paraId="1E3BB122" w14:textId="77777777">
        <w:trPr>
          <w:trHeight w:val="555"/>
        </w:trPr>
        <w:tc>
          <w:tcPr>
            <w:tcW w:w="1973" w:type="dxa"/>
          </w:tcPr>
          <w:p w14:paraId="0E78E7DB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 Егор Константинович</w:t>
            </w:r>
          </w:p>
        </w:tc>
        <w:tc>
          <w:tcPr>
            <w:tcW w:w="1713" w:type="dxa"/>
          </w:tcPr>
          <w:p w14:paraId="4F638371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65972" w14:textId="77777777" w:rsidR="00424352" w:rsidRDefault="00E4377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8(915)126-44-97</w:t>
            </w:r>
          </w:p>
          <w:p w14:paraId="69924A9F" w14:textId="77777777" w:rsidR="00424352" w:rsidRDefault="00E43771">
            <w:pPr>
              <w:spacing w:before="240" w:after="24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deadwallll@gmail.com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45984B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 информационной поддержки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0499F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бакалавриат, </w:t>
            </w:r>
          </w:p>
          <w:p w14:paraId="1144FA1C" w14:textId="77777777" w:rsidR="00424352" w:rsidRDefault="00E43771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</w:t>
            </w:r>
          </w:p>
        </w:tc>
      </w:tr>
    </w:tbl>
    <w:p w14:paraId="7307183A" w14:textId="77777777" w:rsidR="00424352" w:rsidRDefault="00424352"/>
    <w:sectPr w:rsidR="0042435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F08C" w14:textId="77777777" w:rsidR="00521F3E" w:rsidRDefault="00521F3E">
      <w:r>
        <w:separator/>
      </w:r>
    </w:p>
  </w:endnote>
  <w:endnote w:type="continuationSeparator" w:id="0">
    <w:p w14:paraId="778EA8EC" w14:textId="77777777" w:rsidR="00521F3E" w:rsidRDefault="0052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BC0B" w14:textId="77777777" w:rsidR="00521F3E" w:rsidRDefault="00521F3E">
      <w:r>
        <w:separator/>
      </w:r>
    </w:p>
  </w:footnote>
  <w:footnote w:type="continuationSeparator" w:id="0">
    <w:p w14:paraId="543FC7C6" w14:textId="77777777" w:rsidR="00521F3E" w:rsidRDefault="00521F3E">
      <w:r>
        <w:continuationSeparator/>
      </w:r>
    </w:p>
  </w:footnote>
  <w:footnote w:id="1">
    <w:p w14:paraId="6DEBD362" w14:textId="77777777" w:rsidR="00424352" w:rsidRDefault="00E43771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0B195409" w14:textId="77777777" w:rsidR="00424352" w:rsidRDefault="00E43771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65B99371" w14:textId="77777777" w:rsidR="00424352" w:rsidRDefault="00E43771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8C6"/>
    <w:multiLevelType w:val="multilevel"/>
    <w:tmpl w:val="3E1C0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E9E"/>
    <w:multiLevelType w:val="multilevel"/>
    <w:tmpl w:val="27FAE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1327D6"/>
    <w:multiLevelType w:val="multilevel"/>
    <w:tmpl w:val="F7146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535D54"/>
    <w:multiLevelType w:val="multilevel"/>
    <w:tmpl w:val="47FE32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E90703"/>
    <w:multiLevelType w:val="multilevel"/>
    <w:tmpl w:val="51661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1B7639"/>
    <w:multiLevelType w:val="multilevel"/>
    <w:tmpl w:val="5AFA8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53D9B"/>
    <w:multiLevelType w:val="multilevel"/>
    <w:tmpl w:val="543A8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DE2505"/>
    <w:multiLevelType w:val="multilevel"/>
    <w:tmpl w:val="DB5E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14AA9"/>
    <w:multiLevelType w:val="multilevel"/>
    <w:tmpl w:val="D57C9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AF561D"/>
    <w:multiLevelType w:val="multilevel"/>
    <w:tmpl w:val="DBE45BA2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161968"/>
    <w:multiLevelType w:val="multilevel"/>
    <w:tmpl w:val="CB3EA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2"/>
    <w:rsid w:val="00134A5B"/>
    <w:rsid w:val="00424352"/>
    <w:rsid w:val="00521F3E"/>
    <w:rsid w:val="005F1354"/>
    <w:rsid w:val="008B6C5D"/>
    <w:rsid w:val="008D1211"/>
    <w:rsid w:val="009A4B1C"/>
    <w:rsid w:val="009B6841"/>
    <w:rsid w:val="00C5708F"/>
    <w:rsid w:val="00E43771"/>
    <w:rsid w:val="00E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8EA2"/>
  <w15:docId w15:val="{0489826E-3260-4F4C-AD2A-CE8EE1B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134A5B"/>
  </w:style>
  <w:style w:type="character" w:styleId="af1">
    <w:name w:val="Hyperlink"/>
    <w:basedOn w:val="a0"/>
    <w:uiPriority w:val="99"/>
    <w:unhideWhenUsed/>
    <w:rsid w:val="00134A5B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E86EED"/>
    <w:pPr>
      <w:spacing w:before="100" w:beforeAutospacing="1" w:after="100" w:afterAutospacing="1"/>
    </w:pPr>
  </w:style>
  <w:style w:type="paragraph" w:customStyle="1" w:styleId="value-cards-itemvalue">
    <w:name w:val="value-cards-item__value"/>
    <w:basedOn w:val="a"/>
    <w:rsid w:val="00E86EED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E86EED"/>
    <w:rPr>
      <w:b/>
      <w:bCs/>
    </w:rPr>
  </w:style>
  <w:style w:type="paragraph" w:customStyle="1" w:styleId="value-cards-itemtext">
    <w:name w:val="value-cards-item__text"/>
    <w:basedOn w:val="a"/>
    <w:rsid w:val="00E86E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2035.university/project/cifrovaa-praktiko-orientirovannaa-platforma-innovatio10-dla-formirovania-inzenernyh-i-cifrovyh-kompetencij-u-s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-russia.ru/strategicheskoe-razvitie-rf-glazami-premer-ministra-doklad-na-zasedanii-soveta-pri-preziden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HjpCYHnLom9Ds+O9XlMaKrL8g==">AMUW2mUHuynjw4L+fqB26JXKpzwcvP4J44e/5C+WGI2UEgR7wOoyapisPeJNEVgkipYN4/k0yhJCZ1AJBHS1Ra1tzrP5YvCWg6NGj93ng89ztZ2u6bYheZo=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Гапеева Валерия Дмитриевна</cp:lastModifiedBy>
  <cp:revision>5</cp:revision>
  <dcterms:created xsi:type="dcterms:W3CDTF">2023-06-20T14:48:00Z</dcterms:created>
  <dcterms:modified xsi:type="dcterms:W3CDTF">2023-06-22T07:46:00Z</dcterms:modified>
</cp:coreProperties>
</file>