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Ссылка на проект, зарегистрированный на платформе Projects: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0"/>
            <w:szCs w:val="20"/>
            <w:u w:val="single"/>
            <w:rtl w:val="0"/>
          </w:rPr>
          <w:t xml:space="preserve">https://pt.2035.university/project/razrabotka-i-razvitie-platformennogo-resenia-po-vyboru-tehnologij-utilizacii-othodov-s-ucetom-esg-pokazatelej-dla-promyslennosti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</w:t>
      </w:r>
    </w:p>
    <w:tbl>
      <w:tblPr>
        <w:tblStyle w:val="Table1"/>
        <w:tblW w:w="100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815"/>
        <w:gridCol w:w="4530"/>
        <w:tblGridChange w:id="0">
          <w:tblGrid>
            <w:gridCol w:w="675"/>
            <w:gridCol w:w="4815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и усовершенствование платформенного решения, направленного на выбор технологий утилизации отходов в промышленности с учетом ESG-показателей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32"/>
              </w:tabs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ТН1. Цифровые технологии и информационные системы;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432"/>
              </w:tabs>
              <w:spacing w:after="240" w:before="240" w:lineRule="auto"/>
              <w:ind w:left="-14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«Технологии информационных, управляющих, навигационных систем»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432"/>
              </w:tabs>
              <w:spacing w:after="240" w:before="240" w:lineRule="auto"/>
              <w:ind w:left="-14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Технет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432"/>
              </w:tabs>
              <w:spacing w:after="240" w:before="240" w:lineRule="auto"/>
              <w:ind w:left="-14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"Новые производственные технологии TechNet"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432"/>
              </w:tabs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Unti ID 1057433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32"/>
              </w:tabs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ID3443232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432"/>
              </w:tabs>
              <w:spacing w:after="16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ФИО Есечкин Никита Владимирович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432"/>
              </w:tabs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телефон +7 - 9167444059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почта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e1999nv@gmail.com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94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85"/>
              <w:gridCol w:w="1185"/>
              <w:gridCol w:w="1185"/>
              <w:gridCol w:w="1185"/>
              <w:gridCol w:w="1185"/>
              <w:gridCol w:w="1185"/>
              <w:gridCol w:w="630"/>
              <w:gridCol w:w="1740"/>
              <w:tblGridChange w:id="0">
                <w:tblGrid>
                  <w:gridCol w:w="1185"/>
                  <w:gridCol w:w="1185"/>
                  <w:gridCol w:w="1185"/>
                  <w:gridCol w:w="1185"/>
                  <w:gridCol w:w="1185"/>
                  <w:gridCol w:w="1185"/>
                  <w:gridCol w:w="630"/>
                  <w:gridCol w:w="17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7" w:val="single"/>
                    <w:left w:color="000000" w:space="0" w:sz="7" w:val="single"/>
                    <w:bottom w:color="000000" w:space="0" w:sz="7" w:val="single"/>
                    <w:right w:color="000000" w:space="0" w:sz="7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tabs>
                      <w:tab w:val="left" w:leader="none" w:pos="432"/>
                    </w:tabs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1057433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3443232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Есечкин Никита Владимирович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Руководитель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e1999nv@gmail.com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Год обучения в ГУУ по дисциплине «Проектная работа», участие в акселераторе, опыт публичной защиты концепции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3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1071381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3442801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Матвеев Иван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Аналитик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7" w:val="single"/>
                    <w:left w:color="000000" w:space="0" w:sz="7" w:val="single"/>
                    <w:bottom w:color="000000" w:space="0" w:sz="7" w:val="single"/>
                    <w:right w:color="000000" w:space="0" w:sz="7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tabs>
                      <w:tab w:val="left" w:leader="none" w:pos="432"/>
                    </w:tabs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matveev2000.11@mail.ru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Год обучения в ГУУ по дисциплине «Проектная работа», участие в акселераторе, опыт публичной защиты концепции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43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Центра Управления Отходами в контексте цепочки поставок представляет собой комплексное решение, направленное на совершенствование управления отходами в промышленных процессах. </w:t>
            </w:r>
          </w:p>
          <w:p w:rsidR="00000000" w:rsidDel="00000000" w:rsidP="00000000" w:rsidRDefault="00000000" w:rsidRPr="00000000" w14:paraId="00000044">
            <w:pPr>
              <w:spacing w:after="160" w:before="240" w:line="256.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Сегменты клиентов :</w:t>
            </w:r>
          </w:p>
          <w:p w:rsidR="00000000" w:rsidDel="00000000" w:rsidP="00000000" w:rsidRDefault="00000000" w:rsidRPr="00000000" w14:paraId="00000045">
            <w:pPr>
              <w:spacing w:after="160" w:before="240" w:line="256.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1. </w:t>
              <w:tab/>
              <w:t xml:space="preserve">Промышленный бизнес                                                     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tab/>
              <w:t xml:space="preserve">Компании разработчики технологий по утилизации отходов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41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41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B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1. Организация Централизованной Системы Хранения и Сортировки: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Создание специализированного центра для эффективного хранения и систематизации отходов.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Разработка механизмов для оптимального распределения отходов от клиентов, начиная с этапа сбора, с целью максимизации использования ресурсов.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2. Применение Технологий RFID и IoT: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Внедрение RFID-меток на контейнерах для точного мониторинга и управления каждым типом отходов.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Использование технологии IoT для постоянного отслеживания заполненности контейнеров и предупреждения о необходимости вывоза.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3. Интеграция Big Data в Управление Снабжением: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Применение анализа больших данных для оптимизации процессов сортировки и распределения отходов.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Прогнозирование объемов отходов с использованием данных больших данных для более эффективного планирования и управления ресурсами.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4. Взаимодействие с Поставщиками и Партнерами: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Установление единых стандартов с поставщиками и партнерами для унификации процессов сортировки и отчетности по отходам.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Обмен данными о потреблении сырья с поставщиками для улучшения точности прогнозирования и лучшего планирования.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5. Обучение и Сертификация Персонала: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Проведение обучения сотрудников по эффективным методам сортировки и хранения отходов.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Выдача сертификатов для подтверждения соответствия стандартам и повышения профессиональной квалификации.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6. Создание Системы Отчетности и Обеспечение Транспарентности (Прозрачности):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Разработка системы отчетности для клиентов по состоянию и обработке их отходов.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Внедрение прозрачной системы отслеживания маршрута отходов от стадии сбора до утилизации.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7.Разработка Сайта и Мобильного Приложения: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Создание веб-сайта, который предоставляет подробную информацию о центре управления отходами, его услугах, стандартах и подходах к устойчивому управлению отходами.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Разработка мобильного приложения для удобного взаимодействия клиентов с системой. Приложение может предлагать функциональность мониторинга заполненности контейнеров, запроса вывоза отходов, а также предупреждения и уведомления о текущем состоянии обработки отходов.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Интеграция карты, на которой пользователи могут просматривать расположение контейнеров, центров сортировки и других объектов системы.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Предоставление функции отслеживания личного вклада клиентов в устойчивость и экологическую ответственность, а также возможности просмотра статистики по обработанным отходам.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- Внедрение механизма обратной связи для пользователей, чтобы они могли делиться своим опытом, предлагать улучшения и вносить свой вклад в постоянное совершенствование системы управления отходами.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Добавление сайта и мобильного приложения расширяет доступ клиентов к информации, улучшает удобство взаимодействия и обеспечивает прозрачность и вовлеченность клиентов в процессы управления отходами.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Проблема необходимости самостоятельного хранения и сортировки отходов в химическом и целлюлозно-бумажном сегменте промышленности.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Потенциальные потребительские сегменты*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Промышленный бизнес: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АртПринт С (60 компаний), крупный бизнес</w:t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PreoPrint (3 компании), малый бизнес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Copy Brothers (1 компания), малый бизнес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Speedy Print (1 компания), малый бизнес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Orangecopy (1 компания), малый бизнес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Компании по утилизации отходов: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БИЗНЕС Альянс (6 компаний), средний бизнес</w:t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Эковтор (4 компании), средний бизнес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Экосфера (1 компания), малый бизнес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Вторком (1 компания), малый бизнес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Мак-Экология (1 компания), малый бизнес</w:t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.1235351562498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F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Использованы будут цифровые решения для ESG-трансформации: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432"/>
              </w:tabs>
              <w:spacing w:after="22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продвинутая аналитика, ИИ;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432"/>
              </w:tabs>
              <w:spacing w:after="22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интернет вещей (IoT);</w:t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432"/>
              </w:tabs>
              <w:spacing w:after="22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блокчейн;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432"/>
              </w:tabs>
              <w:spacing w:after="240" w:befor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роботизация (RPA).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  <w:highlight w:val="white"/>
                <w:rtl w:val="0"/>
              </w:rPr>
              <w:t xml:space="preserve">Нейронная сеть будет масштабируема и способна решать задачи как в рамках единичного оборудования технологии утилизации строительных отходов, так и в масштабе применения всей технологии для конечного клиента с прогнозным влиянием на ESG - показатели бизнеса.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1)Управление отходами как услуга (Waste Management as a Service):</w:t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Наша компания предоставляет комплексные услуги по сбору, транспортировке, хранению и утилизации отходов для других предприятий в рамках их цепочек поставок.</w:t>
            </w:r>
          </w:p>
          <w:p w:rsidR="00000000" w:rsidDel="00000000" w:rsidP="00000000" w:rsidRDefault="00000000" w:rsidRPr="00000000" w14:paraId="0000008B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 заработка: клиент платит за использование инфраструктуры для хранения отходов, а также за консультационные услуги по сортировке и управлению отходами.</w:t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2)Рециклинг и вторичная переработка:</w:t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Сортировка и переработка отходов с целью получения вторичных сырьевых материалов, которые затем могут быть возвращены обратно в цепочку поставок как вторичное сырье.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 заработка: оплата сырья, собираемое у клиентов, и продажу вторичных материалов другим компаниям.</w:t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финансирования:</w:t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1.Московский инновационный кластер (поддержка для малого и среднего бизнеса)</w:t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432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2.Акселерационные программы</w:t>
            </w:r>
          </w:p>
          <w:p w:rsidR="00000000" w:rsidDel="00000000" w:rsidP="00000000" w:rsidRDefault="00000000" w:rsidRPr="00000000" w14:paraId="00000092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3.Гранты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tabs>
                <w:tab w:val="left" w:leader="none" w:pos="432"/>
              </w:tabs>
              <w:spacing w:after="0" w:afterAutospacing="0" w:befor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u w:val="no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https://utilio.ru/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Утилио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tabs>
                <w:tab w:val="left" w:leader="none" w:pos="432"/>
              </w:tabs>
              <w:spacing w:after="0" w:afterAutospacing="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u w:val="no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https://bezothodov.com/litecat/vyvoz-musora/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bezothodov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tabs>
                <w:tab w:val="left" w:leader="none" w:pos="432"/>
              </w:tabs>
              <w:spacing w:after="0" w:afterAutospacing="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u w:val="no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https://www.kudagradusnik.ru/novosti-ekologii-kratko/agregator-kompanij-po-utilizaczii-otxodov/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kudagradusnik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tabs>
                <w:tab w:val="left" w:leader="none" w:pos="432"/>
              </w:tabs>
              <w:spacing w:after="240" w:before="0" w:before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u w:val="no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Ecoservice.moscow — Сбор и утилизация отходов 1-4 классов опасности в Москве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ЭкоСервис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предлагаем комплексное решение для эффективного управления отходами в рамках цепочки поставок. Наш подход позволяет вам избавиться от необходимости самостоятельного хранения и сортировки отходов, освобождая ваши ресурсы для более важных задач. Мы создаем центр управления отходами, который не только обеспечивает эффективную сортировку и хранение отходов, но и интегрируется в вашу цепочку поставок, повышая экологическую ответственность и создавая дополнительные ценности для вашего бизнеса. Наше решение позволит вам не только соблюдать законодательство в области обращения с отходами, но и снизить экологическое воздействие, улучшить имидж компании и сделать ваш бизнес более устойчивым в долгосрочной перспективе.</w:t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D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432"/>
              </w:tabs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Является организационной инновацией: позволяет гибко управлять замкнутым “ресурсным циклов”, что повышает экологизацию производственных процессов.</w:t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432"/>
              </w:tabs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Инструмент реализации ESG -  концепции и увеличивает инвестиционную привлекательность для промышленного бизнеса и обеспечивает реализацию возможности получения зеленого финансирования.</w:t>
            </w:r>
          </w:p>
          <w:p w:rsidR="00000000" w:rsidDel="00000000" w:rsidP="00000000" w:rsidRDefault="00000000" w:rsidRPr="00000000" w14:paraId="000000A0">
            <w:pPr>
              <w:tabs>
                <w:tab w:val="left" w:leader="none" w:pos="432"/>
              </w:tabs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Обеспечивает клиентскую базу для вновь вводимых объектов с обращениями с отходами (в 2021 году в эксплуатацию в 34 субъектах ввели 61 объект обращения с отходами, при этом общие мощности объектов обработки в стране — 28,9 млн тонн.</w:t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432"/>
              </w:tabs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Содействует достижению ключевых показателей национального проекта «Экология» (к 2030 году этом доля захоронения должна снизиться на 50%.)</w:t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A8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Модельная архитектура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(Документ, регламентирующий требования и стандарты организации и работы создания цифрового двойника)</w:t>
            </w:r>
          </w:p>
          <w:p w:rsidR="00000000" w:rsidDel="00000000" w:rsidP="00000000" w:rsidRDefault="00000000" w:rsidRPr="00000000" w14:paraId="000000A9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передовых производственных технологий (ППТ)</w:t>
            </w:r>
          </w:p>
          <w:p w:rsidR="00000000" w:rsidDel="00000000" w:rsidP="00000000" w:rsidRDefault="00000000" w:rsidRPr="00000000" w14:paraId="000000AA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Комплекс процессов проектирования и изготовления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на современном технологическом уровне кастомизированных (индивидуализированных) материальных объектов (рекультиванта) различной сложности – основанных на комплексе мультидисциплинарных знаний, наукоемких технологий и системы интеллектуальных ноу-хау</w:t>
            </w:r>
          </w:p>
          <w:p w:rsidR="00000000" w:rsidDel="00000000" w:rsidP="00000000" w:rsidRDefault="00000000" w:rsidRPr="00000000" w14:paraId="000000AB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Экспериментально- цифровая платформа сертификации (ЭЦПС)</w:t>
            </w:r>
          </w:p>
          <w:p w:rsidR="00000000" w:rsidDel="00000000" w:rsidP="00000000" w:rsidRDefault="00000000" w:rsidRPr="00000000" w14:paraId="000000AC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Применение методик ускоренной оценки соответствия на основании виртуальных испытаний призвано обеспечить сокращение временных и материальных затрат на сертификацию продукции из ПКМ и, как результат, – скорейший выход на рынки. Сокращение объемов натурных испытаний новых композиционных материалов и изделий путем применения этих методик позволит предприятиям малого и среднего бизнеса снизить временной и стоимостный порог вывода на рынки новой продукции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Учредителями цифровой платформы являются заявленные участники проекта, которые занимаются концептуализацией идеи и самостоятельно разрабатывают организационную составляющую работы цифровой платформы, вплоть до постановки задачи разработчикам.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Планируется для реализации проекта заявлять проект на конкурсы с целью привлечения грантовых средств на его реализацию.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После привлеченных средств учредители будут заниматься формированием штата компетентных специалистов в области программирования и консультантов по утилизации строительных отходов.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Планируется оформить интеллектуальную собственность на все продукты, полученные в ходе программирования.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Основными партнерами могут выступить – Фонд содействия инновациям, НТИ, Министерство науки и высшего образования, Министерство цифрового развития и массовых коммуникаций, Министерство природных ресурсов и экологии РФ, полигоны, представители экспертных сообществ в области строительного бизнеса.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Преимущество заключается в том, что мы , предлагаем клиенту  воспользоваться технологией, основанной на принципах управления цепочкой поставок, который направлен на повышение эффективности обработки отходов в промышленных предприятиях, содействуя устойчивости и соблюдению принципов ESG.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A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Язык программирования R и Python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R — это язык для обработки данных, статистики и машинного обучения. R постоянно конкурирует с Python, его чаще используют в научных исследованиях.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Среда разработки от TI — Code Composer Studio (CCS) или IDE IAR. Установщик CCS.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Среда CCS Cloud.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Java Development Kit (JDK) 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Android Studio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Программатор-отладчик cc-devpack-debug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Bluetooth Low Energy Software Stack, или просто BLE-STACK.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работы из-под Windows с визуализацией и парсингом служб, профилей и пакетов BLE можно установить настольное приложение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TI BLE Device Monitor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SmartRF Studio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или [BTool] (из состава пакета BLE-STACK).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spacing w:after="0" w:afterAutospacing="0" w:lineRule="auto"/>
              <w:ind w:left="5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Функциональные характеристики продукта: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Возможности обработки данных, статистические методы и анализ данных.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Поддержка машинного обучения и разработка алгоритмов.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Интеграция с средой разработки, такой как Code Composer Studio (CCS) или IDE IAR.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Возможности разработки для Android с использованием Java Development Kit (JDK) и Android Studio.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Поддержка Bluetooth Low Energy и связанных с ним технологий.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spacing w:after="0" w:afterAutospacing="0" w:lineRule="auto"/>
              <w:ind w:left="5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Качественные параметры: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Удобство использования и интерфейс продукта.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Надежность и стабильность работы приложений, разработанных с использованием указанных языков и сред разработки.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Эффективность инструментов для анализа и визуализации данных, включая BLE-технологии.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spacing w:after="0" w:afterAutospacing="0" w:lineRule="auto"/>
              <w:ind w:left="5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Количественные параметры: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Производительность при выполнении вычислительных операций и обработке данных.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Скорость разработки и развертывания приложений с использованием предоставленных инструментов.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spacing w:after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Масштабируемость систем на основе созданных решений.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0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D1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итогам акселерационной программы осуществлены следующие виды работ: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Разработана концепция проекта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Разработана бизнес-модель с бюджетом проекта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Проведён анализ конкурентов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Выявлены потенциальные риски проекта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Проведен технический анализ создаваемого продукта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Проведен маркетинговый анализ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Сформировано резюме проекта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• Разработан календарный график проекта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Закреплены работы за участниками проекта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DE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 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 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E1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E2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Продвижение в онлайн: реклама в сети интернет, представление на конференциях на промышленных выставках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Офлайн – своя печатная продукция, партнерские мероприятия.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аргументы в пользу указанных каналов: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охват большой аудитории.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прямой контакт с клиентами, оперативное получение обратной связи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рекламных кампаний с минимальными затратами.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оперативное реагирование на изменения в поведении клиентов.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печатная продукция позволяет демонстрировать и детально обосновывать применение научного подхода в изготовлении продукции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EC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Каналы сбыта будущего продукта*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1.Установление сотрудничества с поставщиками, которые уже работают в сегменте утилизации и переработки отходов, чтобы предложить комплексные решения связанные с сортировкой и управлением отходами.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2.Предложение товаров и услуг по сортировке и управлению отходами непосредственно предприятиям, организациям и учреждениям, где есть высокий потенциал использования данной продукции.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3.Участие в отраслевых выставках, конференциях или проведение специальных мероприятий для демонстрации продукции и услуг по сортировке и хранению отходов.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4.Распространение продукции и решений по сортировке и управлению отходами через франчайзинговые или дистрибьюторские соглашения в различных регионах.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F6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172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Необходимость самостоятельного хранения и сортировки отходов.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1.Дополнительные затраты: Внедрение системы самостоятельной сортировки отходов может потребовать инвестиций в оборудование, контейнеры, обучение сотрудников и выполнение регулярных процедур сортировки, что может увеличить операционные издержки.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2.Сложности в организации: Некоторые предприятия  столкиваются с трудностями при разработке эффективной системы сбора и сортировки отходов, особенно в случае, когда требуется обработка разнообразных типов отходов.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3.Нагрузка на персонал: Введение процедур сортировки и утилизации отходов может увеличить нагрузку на сотрудников, особенно если эти задачи не были учтены в их ранее обязанностях.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4.Необходимость внедрения обучения: Персонал может потребоваться обучение по правильной сортировке и утилизации отходов, что может занять дополнительное время и ресурсы.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5.Риски неправильной обработки: Некорректная сортировка и утилизация отходов может привести к негативным экологическим последствиям и юридическим проблемам для предприятия.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F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Наш проект предлагает инновационный подход к управлению отходами, который полностью решает проблему необходимости самостоятельного хранения и сортировки отходов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both"/>
              <w:rPr>
                <w:rFonts w:ascii="Roboto" w:cs="Roboto" w:eastAsia="Roboto" w:hAnsi="Roboto"/>
                <w:color w:val="0f17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Мы предоставляем клиентам возможность легко и удобно избавляться от отходов, не беспокоясь о их хранении и сортировке. Наш проект предлагает решение, которое освобождает клиентов от необходимости уделять время и ресурсы на самостоятельную обработку отходов, при этом гарантируя их эффективную утилизацию в соответствии с экологическими стандартами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172a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03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Развитость цифровых практик в России создает возможности для синергии между цифровой и ESG-трансформацией, которая приведет к достижению наиболее значимых результатов как в области повышения операционной эффективности, так и в области устойчивого развития. 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Повышение операционной эффективности: Цифровые технологии позволяют оптимизировать процессы управления ресурсами, мониторинга производства, управления цепочками поставок и др. Использование данных и аналитики позволяет выявить узкие места в бизнес-процессах, снизить потребление ресурсов, повысить производительность и сократить издержки. Это может быть важно для предприятий, желающих снизить свой экологический след и повысить эффективность операций.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Устойчивое развитие и социальная ответственность: Использование цифровых решений для мониторинга и управления экологическими показателями позволяет компаниям продемонстрировать свою ответственность перед обществом. Это важно особенно в контексте роста интереса со стороны инвесторов, потребителей и регуляторов к устойчивому развитию и ESG-факторам. Потребители склонны отдавать предпочтение продукции и услугам компаний, активно внедряющих цифровые практики для снижения негативного воздействия на окружающую среду.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8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Внедрение Центра Управления Отходами в рамках цепочки поставок.</w:t>
              <w:br w:type="textWrapping"/>
              <w:br w:type="textWrapping"/>
              <w:t xml:space="preserve">Наша компания предоставляет комплексные услуги по сбору, транспортировке, хранению и утилизации отходов для других предприятий в рамках их цепочек поставок.</w:t>
            </w:r>
          </w:p>
          <w:p w:rsidR="00000000" w:rsidDel="00000000" w:rsidP="00000000" w:rsidRDefault="00000000" w:rsidRPr="00000000" w14:paraId="0000010A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Сортировка и переработка отходов с целью получения вторичных сырьевых материалов, которые затем могут быть возвращены обратно в цепочку поставок как вторичное сырье.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0D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Несмотря на бурный рост сегмента цифровых решений для ESG, данный рынок все еще недостаточно насыщен. Респонденты отметили, что в наибольшей степени ощущается недостаток цифровых решений в следующих ESG-аспектах деятельности компаний: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адаптация к изменению климата (16 %);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обращение с отходами (15 %);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биоразнообразие. (13 %)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 проблемы возможно благодаря освещению наличия спроса на цифровые инструменты для ESG и стимулирования развития таких инструментов. Наибольший потенциал в направлении цифровизации имеют решения, созданные с применением технологий продвинутой аналитики, искусственного интеллекта (ИИ), интернета вещей (IoT), блокчейна и роботизации (RPA).</w:t>
            </w:r>
          </w:p>
          <w:p w:rsidR="00000000" w:rsidDel="00000000" w:rsidP="00000000" w:rsidRDefault="00000000" w:rsidRPr="00000000" w14:paraId="00000113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Целлюлозно-бумажный сегмент</w:t>
            </w:r>
          </w:p>
          <w:p w:rsidR="00000000" w:rsidDel="00000000" w:rsidP="00000000" w:rsidRDefault="00000000" w:rsidRPr="00000000" w14:paraId="00000114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PAM = 2 400 000 x 2200(+10%) = 5 280 000 000</w:t>
            </w:r>
          </w:p>
          <w:p w:rsidR="00000000" w:rsidDel="00000000" w:rsidP="00000000" w:rsidRDefault="00000000" w:rsidRPr="00000000" w14:paraId="00000115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TAM =2 400 000 x 2000 = 4 800 000 000</w:t>
            </w:r>
          </w:p>
          <w:p w:rsidR="00000000" w:rsidDel="00000000" w:rsidP="00000000" w:rsidRDefault="00000000" w:rsidRPr="00000000" w14:paraId="00000116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SAM = 2 400 000 x (30% x 2000 : 100%) = 1 440 000 000</w:t>
            </w:r>
          </w:p>
          <w:p w:rsidR="00000000" w:rsidDel="00000000" w:rsidP="00000000" w:rsidRDefault="00000000" w:rsidRPr="00000000" w14:paraId="00000117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SOM = 2 400 000 x (10% x 600 : 100 %) = 144 000 000</w:t>
            </w:r>
          </w:p>
          <w:p w:rsidR="00000000" w:rsidDel="00000000" w:rsidP="00000000" w:rsidRDefault="00000000" w:rsidRPr="00000000" w14:paraId="00000118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Нефтехимический сегмент :</w:t>
            </w:r>
          </w:p>
          <w:p w:rsidR="00000000" w:rsidDel="00000000" w:rsidP="00000000" w:rsidRDefault="00000000" w:rsidRPr="00000000" w14:paraId="00000119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PAM = 3 000 000x 6600(+10%) = 19 800 000 000</w:t>
            </w:r>
          </w:p>
          <w:p w:rsidR="00000000" w:rsidDel="00000000" w:rsidP="00000000" w:rsidRDefault="00000000" w:rsidRPr="00000000" w14:paraId="0000011A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TAM =3 000 000 x 6000 = 18 000 000 000</w:t>
            </w:r>
          </w:p>
          <w:p w:rsidR="00000000" w:rsidDel="00000000" w:rsidP="00000000" w:rsidRDefault="00000000" w:rsidRPr="00000000" w14:paraId="0000011B">
            <w:pPr>
              <w:ind w:firstLine="36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SAM = 3 000 000 x (30% x 6000 : 100%) = 5 400 000 000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SOM = 3 000 000 x (10% x 1800 : 100 %) = 540 000 000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widowControl w:val="0"/>
        <w:spacing w:after="60" w:before="6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Times New Roman" w:cs="Times New Roman" w:eastAsia="Times New Roman" w:hAnsi="Times New Roman"/>
          <w:b w:val="1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7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4185"/>
        <w:gridCol w:w="1695"/>
        <w:tblGridChange w:id="0">
          <w:tblGrid>
            <w:gridCol w:w="825"/>
            <w:gridCol w:w="418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       Дальнейшее участие в акселерационных программах;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2023-2024 гг.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Ведение аккаунтов в социальных сетях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2024-2025 гг.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Помощь ассоциации кластеров технопарков и особых экономических зон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2024-2025 гг.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Грантовые конкурсы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2024-2025 гг.</w:t>
            </w:r>
          </w:p>
        </w:tc>
      </w:tr>
    </w:tbl>
    <w:p w:rsidR="00000000" w:rsidDel="00000000" w:rsidP="00000000" w:rsidRDefault="00000000" w:rsidRPr="00000000" w14:paraId="0000012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coservice.moscow/?utm_source=yandex&amp;utm_medium=cpc&amp;utm_campaign=obshsearchclickru&amp;utm_content=15091207143&amp;utm_term=%D1%83%D1%82%D0%B8%D0%BB%D0%B8%D0%B7%D0%B0%D1%86%D0%B8%D1%8F%20%D0%BE%D1%82%D1%85%D0%BE%D0%B4%D0%BE%D0%B2%20%D1%81%D0%B0%D0%B9%D1%82&amp;yclid=18428821051663450111" TargetMode="External"/><Relationship Id="rId10" Type="http://schemas.openxmlformats.org/officeDocument/2006/relationships/hyperlink" Target="https://www.kudagradusnik.ru/novosti-ekologii-kratko/agregator-kompanij-po-utilizaczii-otxodov/" TargetMode="External"/><Relationship Id="rId13" Type="http://schemas.openxmlformats.org/officeDocument/2006/relationships/hyperlink" Target="http://developer.android.com/sdk/index.html" TargetMode="External"/><Relationship Id="rId12" Type="http://schemas.openxmlformats.org/officeDocument/2006/relationships/hyperlink" Target="http://www.oracle.com/technetwork/java/javase/downloads/188026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zothodov.com/litecat/vyvoz-musora/" TargetMode="External"/><Relationship Id="rId15" Type="http://schemas.openxmlformats.org/officeDocument/2006/relationships/hyperlink" Target="http://www.ti.com/lit/zip/swrc258" TargetMode="External"/><Relationship Id="rId14" Type="http://schemas.openxmlformats.org/officeDocument/2006/relationships/hyperlink" Target="http://www.ti.com/tool/cc-devpack-debug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ti.com/tool/SMARTRFTM-STUDI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razrabotka-i-razvitie-platformennogo-resenia-po-vyboru-tehnologij-utilizacii-othodov-s-ucetom-esg-pokazatelej-dla-promyslennosti" TargetMode="External"/><Relationship Id="rId8" Type="http://schemas.openxmlformats.org/officeDocument/2006/relationships/hyperlink" Target="https://utilio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OI96U4KhtRiQxzCjoNRY4DQp/g==">CgMxLjA4AHIhMVgtTVRDbnNaTlBGSG4yQTdCQlBxOVIxM3RYRDl2ZUZI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