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nsPlusNormal"/>
        <w:jc w:val="right"/>
      </w:pPr>
      <w:r>
        <w:rPr>
          <w:rStyle w:val="Нет A"/>
          <w:rtl w:val="0"/>
        </w:rPr>
        <w:t xml:space="preserve">Приложение № </w:t>
      </w:r>
      <w:r>
        <w:rPr>
          <w:rStyle w:val="Нет A"/>
          <w:rtl w:val="0"/>
        </w:rPr>
        <w:t xml:space="preserve">15 </w:t>
      </w:r>
      <w:r>
        <w:rPr>
          <w:rStyle w:val="Нет A"/>
          <w:rtl w:val="0"/>
        </w:rPr>
        <w:t>к Договору</w:t>
      </w:r>
    </w:p>
    <w:p>
      <w:pPr>
        <w:pStyle w:val="Normal.0"/>
        <w:spacing w:after="0" w:line="240" w:lineRule="auto"/>
        <w:ind w:right="176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от 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№</w:t>
      </w:r>
      <w:r>
        <w:rPr>
          <w:rFonts w:ascii="Times New Roman" w:hAnsi="Times New Roman"/>
          <w:rtl w:val="0"/>
        </w:rPr>
        <w:t xml:space="preserve"> </w:t>
      </w:r>
    </w:p>
    <w:p>
      <w:pPr>
        <w:pStyle w:val="Normal.0"/>
        <w:spacing w:before="91"/>
        <w:ind w:right="176"/>
        <w:jc w:val="righ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caps w:val="1"/>
          <w:sz w:val="32"/>
          <w:szCs w:val="32"/>
        </w:rPr>
      </w:pPr>
      <w:r>
        <w:rPr>
          <w:rFonts w:ascii="Times New Roman" w:hAnsi="Times New Roman" w:hint="default"/>
          <w:b w:val="1"/>
          <w:bCs w:val="1"/>
          <w:caps w:val="1"/>
          <w:sz w:val="32"/>
          <w:szCs w:val="32"/>
          <w:rtl w:val="0"/>
        </w:rPr>
        <w:t>Паспорт стартап</w:t>
      </w:r>
      <w:r>
        <w:rPr>
          <w:rFonts w:ascii="Times New Roman" w:hAnsi="Times New Roman"/>
          <w:b w:val="1"/>
          <w:bCs w:val="1"/>
          <w:caps w:val="1"/>
          <w:sz w:val="32"/>
          <w:szCs w:val="32"/>
          <w:rtl w:val="0"/>
        </w:rPr>
        <w:t>-</w:t>
      </w:r>
      <w:r>
        <w:rPr>
          <w:rFonts w:ascii="Times New Roman" w:hAnsi="Times New Roman" w:hint="default"/>
          <w:b w:val="1"/>
          <w:bCs w:val="1"/>
          <w:caps w:val="1"/>
          <w:sz w:val="32"/>
          <w:szCs w:val="32"/>
          <w:rtl w:val="0"/>
          <w:lang w:val="ru-RU"/>
        </w:rPr>
        <w:t xml:space="preserve">проекта </w:t>
      </w:r>
    </w:p>
    <w:p>
      <w:pPr>
        <w:pStyle w:val="Normal.0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caps w:val="1"/>
          <w:sz w:val="32"/>
          <w:szCs w:val="32"/>
        </w:rPr>
      </w:pPr>
    </w:p>
    <w:tbl>
      <w:tblPr>
        <w:tblW w:w="9678" w:type="dxa"/>
        <w:jc w:val="center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955"/>
        <w:gridCol w:w="4723"/>
      </w:tblGrid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49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hyperlink r:id="rId6" w:history="1">
              <w:r>
                <w:t xml:space="preserve">https://pt.2035.university/project/avtonomnyj-mini-generator-na-osnove-vodoroda</w:t>
              </w:r>
            </w:hyperlink>
          </w:p>
        </w:tc>
        <w:tc>
          <w:tcPr>
            <w:tcW w:type="dxa" w:w="47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en-US"/>
              </w:rPr>
              <w:t>14.12.2025 19:49</w:t>
            </w:r>
          </w:p>
        </w:tc>
      </w:tr>
    </w:tbl>
    <w:p>
      <w:pPr>
        <w:pStyle w:val="Normal.0"/>
        <w:widowControl w:val="0"/>
        <w:spacing w:line="240" w:lineRule="auto"/>
        <w:ind w:left="216" w:hanging="216"/>
        <w:jc w:val="center"/>
        <w:rPr>
          <w:rFonts w:ascii="Times New Roman" w:cs="Times New Roman" w:hAnsi="Times New Roman" w:eastAsia="Times New Roman"/>
          <w:b w:val="1"/>
          <w:bCs w:val="1"/>
          <w:caps w:val="1"/>
          <w:sz w:val="32"/>
          <w:szCs w:val="32"/>
        </w:rPr>
      </w:pPr>
    </w:p>
    <w:p>
      <w:pPr>
        <w:pStyle w:val="Normal.0"/>
        <w:widowControl w:val="0"/>
        <w:spacing w:line="240" w:lineRule="auto"/>
        <w:ind w:left="108" w:hanging="108"/>
        <w:jc w:val="center"/>
        <w:rPr>
          <w:rFonts w:ascii="Times New Roman" w:cs="Times New Roman" w:hAnsi="Times New Roman" w:eastAsia="Times New Roman"/>
          <w:b w:val="1"/>
          <w:bCs w:val="1"/>
          <w:caps w:val="1"/>
          <w:sz w:val="32"/>
          <w:szCs w:val="32"/>
        </w:rPr>
      </w:pPr>
    </w:p>
    <w:p>
      <w:pPr>
        <w:pStyle w:val="Normal.0"/>
        <w:widowControl w:val="0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caps w:val="1"/>
          <w:sz w:val="32"/>
          <w:szCs w:val="32"/>
        </w:rPr>
      </w:pPr>
    </w:p>
    <w:p>
      <w:pPr>
        <w:pStyle w:val="Normal.0"/>
        <w:widowControl w:val="0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tbl>
      <w:tblPr>
        <w:tblW w:w="9700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102"/>
        <w:gridCol w:w="4598"/>
      </w:tblGrid>
      <w:tr>
        <w:tblPrEx>
          <w:shd w:val="clear" w:color="auto" w:fill="d0ddef"/>
        </w:tblPrEx>
        <w:trPr>
          <w:trHeight w:val="519" w:hRule="atLeast"/>
        </w:trPr>
        <w:tc>
          <w:tcPr>
            <w:tcW w:type="dxa" w:w="51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Наименование образовательной организации высшего образования 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Получателя гранта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)</w:t>
            </w:r>
          </w:p>
        </w:tc>
        <w:tc>
          <w:tcPr>
            <w:tcW w:type="dxa" w:w="4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ФГАОУ ВО «Санкт-Петербургский государственный электротехнический университет «ЛЭТИ» им. В.И. Ульянова (Ленина)»</w:t>
            </w:r>
          </w:p>
        </w:tc>
      </w:tr>
      <w:tr>
        <w:tblPrEx>
          <w:shd w:val="clear" w:color="auto" w:fill="d0ddef"/>
        </w:tblPrEx>
        <w:trPr>
          <w:trHeight w:val="261" w:hRule="atLeast"/>
        </w:trPr>
        <w:tc>
          <w:tcPr>
            <w:tcW w:type="dxa" w:w="51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</w:pP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Регион Получателя гранта </w:t>
            </w:r>
          </w:p>
        </w:tc>
        <w:tc>
          <w:tcPr>
            <w:tcW w:type="dxa" w:w="4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Санкт-Петербург</w:t>
            </w:r>
          </w:p>
        </w:tc>
      </w:tr>
      <w:tr>
        <w:tblPrEx>
          <w:shd w:val="clear" w:color="auto" w:fill="d0ddef"/>
        </w:tblPrEx>
        <w:trPr>
          <w:trHeight w:val="261" w:hRule="atLeast"/>
        </w:trPr>
        <w:tc>
          <w:tcPr>
            <w:tcW w:type="dxa" w:w="51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Наименование акселерационной программы </w:t>
            </w:r>
          </w:p>
        </w:tc>
        <w:tc>
          <w:tcPr>
            <w:tcW w:type="dxa" w:w="4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СТАРТАПЫ ЛЭТИ</w:t>
            </w:r>
          </w:p>
        </w:tc>
      </w:tr>
      <w:tr>
        <w:tblPrEx>
          <w:shd w:val="clear" w:color="auto" w:fill="d0ddef"/>
        </w:tblPrEx>
        <w:trPr>
          <w:trHeight w:val="261" w:hRule="atLeast"/>
        </w:trPr>
        <w:tc>
          <w:tcPr>
            <w:tcW w:type="dxa" w:w="51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</w:pP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Дата заключения и номер Договора</w:t>
            </w:r>
          </w:p>
        </w:tc>
        <w:tc>
          <w:tcPr>
            <w:tcW w:type="dxa" w:w="4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/>
            </w:r>
          </w:p>
        </w:tc>
      </w:tr>
    </w:tbl>
    <w:p>
      <w:pPr>
        <w:pStyle w:val="Normal.0"/>
        <w:widowControl w:val="0"/>
        <w:spacing w:line="240" w:lineRule="auto"/>
        <w:ind w:left="216" w:hanging="216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.0"/>
        <w:widowControl w:val="0"/>
        <w:spacing w:line="240" w:lineRule="auto"/>
        <w:ind w:left="108" w:hanging="108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.0"/>
        <w:widowControl w:val="0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tbl>
      <w:tblPr>
        <w:tblW w:w="9720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693"/>
        <w:gridCol w:w="4167"/>
        <w:gridCol w:w="4860"/>
      </w:tblGrid>
      <w:tr>
        <w:tblPrEx>
          <w:shd w:val="clear" w:color="auto" w:fill="d0ddef"/>
        </w:tblPrEx>
        <w:trPr>
          <w:trHeight w:val="608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2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Next w:val="1"/>
              <w:spacing w:before="240" w:after="0" w:line="276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caps w:val="1"/>
                <w:sz w:val="28"/>
                <w:szCs w:val="28"/>
                <w:shd w:val="nil" w:color="auto" w:fill="auto"/>
                <w:rtl w:val="0"/>
                <w:lang w:val="ru-RU"/>
              </w:rPr>
              <w:t>Краткая Информация о стартап</w:t>
            </w:r>
            <w:r>
              <w:rPr>
                <w:rFonts w:ascii="Times New Roman" w:hAnsi="Times New Roman"/>
                <w:b w:val="1"/>
                <w:bCs w:val="1"/>
                <w:caps w:val="1"/>
                <w:sz w:val="28"/>
                <w:szCs w:val="28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caps w:val="1"/>
                <w:sz w:val="28"/>
                <w:szCs w:val="28"/>
                <w:shd w:val="nil" w:color="auto" w:fill="auto"/>
                <w:rtl w:val="0"/>
                <w:lang w:val="ru-RU"/>
              </w:rPr>
              <w:t>проекте</w:t>
            </w:r>
          </w:p>
        </w:tc>
      </w:tr>
      <w:tr>
        <w:tblPrEx>
          <w:shd w:val="clear" w:color="auto" w:fill="d0ddef"/>
        </w:tblPrEx>
        <w:trPr>
          <w:trHeight w:val="462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1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Название стартап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проекта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Автономный генератор-энергохранилище на основе водорода</w:t>
            </w:r>
          </w:p>
        </w:tc>
      </w:tr>
      <w:tr>
        <w:tblPrEx>
          <w:shd w:val="clear" w:color="auto" w:fill="d0ddef"/>
        </w:tblPrEx>
        <w:trPr>
          <w:trHeight w:val="2455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2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Тема стартап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проекта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  <w:br w:type="textWrapping"/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Указывается тема стартап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проекта в рамках темы акселерационной программы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основанной на Технологических направлениях в соответствии с перечнем критических технологий РФ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Рынках НТИ и Сквозных технологиях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.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Технология выработки водорода</w:t>
            </w:r>
          </w:p>
        </w:tc>
      </w:tr>
      <w:tr>
        <w:tblPrEx>
          <w:shd w:val="clear" w:color="auto" w:fill="d0ddef"/>
        </w:tblPrEx>
        <w:trPr>
          <w:trHeight w:val="1653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3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Технологическое направление в соответствии с перечнем критических технологий РФ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  <w:br w:type="textWrapping"/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Технологии создания высокоэффективных систем генерации, распределения и хранения энергии (в том числе атомной)., Технологии создания энергетических систем с замкнутым топливным циклом.</w:t>
            </w:r>
          </w:p>
        </w:tc>
      </w:tr>
      <w:tr>
        <w:tblPrEx>
          <w:shd w:val="clear" w:color="auto" w:fill="d0ddef"/>
        </w:tblPrEx>
        <w:trPr>
          <w:trHeight w:val="1550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4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Рынок НТИ</w:t>
              <w:br w:type="textWrapping"/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EduNet, EnergyNet</w:t>
            </w:r>
          </w:p>
        </w:tc>
      </w:tr>
      <w:tr>
        <w:tblPrEx>
          <w:shd w:val="clear" w:color="auto" w:fill="d0ddef"/>
        </w:tblPrEx>
        <w:trPr>
          <w:trHeight w:val="1560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5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Сквозные технологии </w:t>
              <w:br w:type="textWrapping"/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Водородные технологии, Зеленая энергетика, Технологии создания новых и портативных источников энергии</w:t>
            </w:r>
          </w:p>
        </w:tc>
      </w:tr>
      <w:tr>
        <w:tblPrEx>
          <w:shd w:val="clear" w:color="auto" w:fill="d0ddef"/>
        </w:tblPrEx>
        <w:trPr>
          <w:trHeight w:val="684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2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Next w:val="1"/>
              <w:spacing w:before="240" w:after="0" w:line="276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caps w:val="1"/>
                <w:sz w:val="28"/>
                <w:szCs w:val="28"/>
                <w:shd w:val="nil" w:color="auto" w:fill="auto"/>
                <w:rtl w:val="0"/>
                <w:lang w:val="ru-RU"/>
              </w:rPr>
              <w:t>Информация о лидере и участниках стартап</w:t>
            </w:r>
            <w:r>
              <w:rPr>
                <w:rFonts w:ascii="Times New Roman" w:hAnsi="Times New Roman"/>
                <w:b w:val="1"/>
                <w:bCs w:val="1"/>
                <w:caps w:val="1"/>
                <w:sz w:val="28"/>
                <w:szCs w:val="28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caps w:val="1"/>
                <w:sz w:val="28"/>
                <w:szCs w:val="28"/>
                <w:shd w:val="nil" w:color="auto" w:fill="auto"/>
                <w:rtl w:val="0"/>
                <w:lang w:val="ru-RU"/>
              </w:rPr>
              <w:t>проекта</w:t>
            </w:r>
          </w:p>
        </w:tc>
      </w:tr>
      <w:tr>
        <w:tblPrEx>
          <w:shd w:val="clear" w:color="auto" w:fill="d0ddef"/>
        </w:tblPrEx>
        <w:trPr>
          <w:trHeight w:val="1122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6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Лидер стартап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проекта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* 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A"/>
              <w:widowControl w:val="0"/>
              <w:tabs>
                <w:tab w:val="left" w:pos="432"/>
              </w:tabs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- 1147253</w:t>
            </w:r>
          </w:p>
          <w:p>
            <w:pPr>
              <w:pStyle w:val="Normal A"/>
              <w:widowControl w:val="0"/>
              <w:tabs>
                <w:tab w:val="left" w:pos="432"/>
              </w:tabs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- 3555076</w:t>
            </w:r>
          </w:p>
          <w:p>
            <w:pPr>
              <w:pStyle w:val="Normal A"/>
              <w:widowControl w:val="0"/>
              <w:tabs>
                <w:tab w:val="left" w:pos="432"/>
              </w:tabs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- Паутин Александр Романович</w:t>
            </w:r>
          </w:p>
          <w:p>
            <w:pPr>
              <w:pStyle w:val="Основной текст A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- +7 (996) 027 1950</w:t>
            </w:r>
          </w:p>
          <w:p>
            <w:pPr>
              <w:pStyle w:val="Основной текст A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- arpautin@stud.etu.ru</w:t>
            </w:r>
          </w:p>
        </w:tc>
      </w:tr>
      <w:tr>
        <w:tblPrEx>
          <w:shd w:val="clear" w:color="auto" w:fill="d0ddef"/>
        </w:tblPrEx>
        <w:trPr>
          <w:trHeight w:val="1078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</w:tabs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7</w:t>
            </w:r>
          </w:p>
        </w:tc>
        <w:tc>
          <w:tcPr>
            <w:tcW w:type="dxa" w:w="902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Команда</w:t>
            </w:r>
            <w:r>
              <w:rPr>
                <w:rFonts w:ascii="Times New Roman" w:hAnsi="Times New Roman"/>
                <w:b w:val="0"/>
                <w:bCs w:val="0"/>
                <w:sz w:val="16"/>
                <w:szCs w:val="16"/>
                <w:shd w:val="nil" w:color="auto" w:fill="auto"/>
                <w:rtl w:val="0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стартап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проекта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участники стартап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проекта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которые работают в рамках акселерационной программы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)</w:t>
            </w:r>
          </w:p>
          <w:tbl>
            <w:tblGrid>
              <w:gridCol w:w="1000" w:type="dxa"/>
              <w:gridCol w:w="1000" w:type="dxa"/>
              <w:gridCol w:w="1000" w:type="dxa"/>
              <w:gridCol w:w="1500" w:type="dxa"/>
              <w:gridCol w:w="2000" w:type="dxa"/>
              <w:gridCol w:w="1500" w:type="dxa"/>
            </w:tblGrid>
            <w:tblPr>
              <w:tblW w:w="5000" w:type="pct"/>
              <w:tblLayout w:type="autofit"/>
              <w:bidiVisual w:val="0"/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/>
              <w:tc>
                <w:tcPr>
                  <w:tcW w:w="1000" w:type="dxa"/>
                </w:tcPr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№</w:t>
                  </w:r>
                </w:p>
              </w:tc>
              <w:tc>
                <w:tcPr>
                  <w:tcW w:w="1000" w:type="dxa"/>
                </w:tcPr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Unti ID</w:t>
                  </w:r>
                </w:p>
              </w:tc>
              <w:tc>
                <w:tcPr>
                  <w:tcW w:w="1000" w:type="dxa"/>
                </w:tcPr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Leader ID</w:t>
                  </w:r>
                </w:p>
              </w:tc>
              <w:tc>
                <w:tcPr>
                  <w:tcW w:w="1500" w:type="dxa"/>
                </w:tcPr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ФИО</w:t>
                  </w:r>
                </w:p>
              </w:tc>
              <w:tc>
                <w:tcPr>
                  <w:tcW w:w="2000" w:type="dxa"/>
                </w:tcPr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Роль в проекте</w:t>
                  </w:r>
                </w:p>
              </w:tc>
              <w:tc>
                <w:tcPr>
                  <w:tcW w:w="1500" w:type="dxa"/>
                </w:tcPr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Должность</w:t>
                  </w:r>
                </w:p>
              </w:tc>
            </w:tr>
            <w:tr>
              <w:trPr/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1905120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6510257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Соловьева Дарья Витальевна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Интегратор</w:t>
                  </w:r>
                </w:p>
              </w:tc>
            </w:tr>
            <w:tr>
              <w:trPr/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1918965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6282172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Кончик Никита Алексеевич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Производитель</w:t>
                  </w:r>
                </w:p>
              </w:tc>
            </w:tr>
            <w:tr>
              <w:trPr/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1906460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6336058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Роговая Лариса Александровна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Администратор</w:t>
                  </w:r>
                </w:p>
              </w:tc>
            </w:tr>
            <w:tr>
              <w:trPr/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2511471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3762244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Широков Кирилл Сергеевич</w:t>
                  </w:r>
                </w:p>
              </w:tc>
              <w:tc>
                <w:tcPr/>
                <w:p>
                  <w:pPr/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Производитель</w:t>
                  </w:r>
                </w:p>
              </w:tc>
            </w:tr>
          </w:tbl>
        </w:tc>
      </w:tr>
      <w:tr>
        <w:tblPrEx>
          <w:shd w:val="clear" w:color="auto" w:fill="d0ddef"/>
        </w:tblPrEx>
        <w:trPr>
          <w:trHeight w:val="653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2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Next w:val="1"/>
              <w:spacing w:before="240" w:after="0" w:line="276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caps w:val="1"/>
                <w:sz w:val="32"/>
                <w:szCs w:val="32"/>
                <w:shd w:val="nil" w:color="auto" w:fill="auto"/>
                <w:rtl w:val="0"/>
              </w:rPr>
              <w:t>ПЛАН РЕАЛИЗАЦИИ СТАРТАП</w:t>
            </w:r>
            <w:r>
              <w:rPr>
                <w:rFonts w:ascii="Times New Roman" w:hAnsi="Times New Roman"/>
                <w:b w:val="1"/>
                <w:bCs w:val="1"/>
                <w:caps w:val="1"/>
                <w:sz w:val="32"/>
                <w:szCs w:val="32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caps w:val="1"/>
                <w:sz w:val="32"/>
                <w:szCs w:val="32"/>
                <w:shd w:val="nil" w:color="auto" w:fill="auto"/>
                <w:rtl w:val="0"/>
              </w:rPr>
              <w:t>ПРОЕКТА</w:t>
            </w:r>
          </w:p>
        </w:tc>
      </w:tr>
      <w:tr>
        <w:tblPrEx>
          <w:shd w:val="clear" w:color="auto" w:fill="d0ddef"/>
        </w:tblPrEx>
        <w:trPr>
          <w:trHeight w:val="2562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8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Аннотация проекта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tabs>
                <w:tab w:val="left" w:pos="41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Указывается краткая информация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не более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1000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знаков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без пробелов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о стартап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проекте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краткий реферат проекта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детализация отдельных блоков предусмотрена другими разделами Паспорта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):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цели и задачи проекта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ожидаемые результаты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области применения результатов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потенциальные потребительские сегменты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Цель проекта – создание автономного генератора, преобразующего хранящийся водород в электрический ток. Задачи: 1. Разработать единую платформу для размещения компонентов устройства; 2. Собрать в едином контуре устройства хранения, преобразования и управления водородом; 3. Провести испытания для установления эффективности и безопасности работы; 4. Установить внешние защитные и функциональные панели. Ожидаемые результаты – готовый прототип генератора в форм-факторе единого кейса размером 130x75x75 см, мощность 20-30 кВт. Области применения: резервное и автономное энергоснабжение, аккумулирование избытка электростанций, обеспечение энергией удалённых и труднодоступных регионов, временные удаленные пункты энергопотребления (ремонтные работы, исследования и т.п.). Потребительские сегменты: 1. Добывающая и геологоразведочная отрасли; 2. МЧС и военный сектор; 3. Электростанции с избытком электроэнергии; 4. Научные станции и экспедиции.</w:t>
            </w:r>
          </w:p>
        </w:tc>
      </w:tr>
      <w:tr>
        <w:tblPrEx>
          <w:shd w:val="clear" w:color="auto" w:fill="d0ddef"/>
        </w:tblPrEx>
        <w:trPr>
          <w:trHeight w:val="338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2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Базовая бизнес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идея </w:t>
            </w:r>
          </w:p>
        </w:tc>
      </w:tr>
      <w:tr>
        <w:tblPrEx>
          <w:shd w:val="clear" w:color="auto" w:fill="d0ddef"/>
        </w:tblPrEx>
        <w:trPr>
          <w:trHeight w:val="2161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9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Какой продукт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товар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услуга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устройство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ПО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технология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процесс и т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д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.)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будет продаваться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Указывается максимально понятно и емко информация о продукте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лежащем в основе стартап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проекта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благодаря реализации которого планируется получать основной доход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Водородный генератор-накопитель энергии способный аккумулировать электричество в виде газообразного водорода с возможностью последующего преобразования обратно в электричество</w:t>
            </w:r>
          </w:p>
        </w:tc>
      </w:tr>
      <w:tr>
        <w:tblPrEx>
          <w:shd w:val="clear" w:color="auto" w:fill="d0ddef"/>
        </w:tblPrEx>
        <w:trPr>
          <w:trHeight w:val="1796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pacing w:before="278" w:after="0"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10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pacing w:before="278" w:after="0" w:line="240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Какую и чью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какого типа потребителей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проблему решает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tabs>
                <w:tab w:val="left" w:pos="414"/>
              </w:tabs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tabs>
                <w:tab w:val="left" w:pos="41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Указывается максимально и емко информация о проблеме потенциального потребителя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которую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полностью или частично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сможет решить ваш продукт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Добывающая и геологоразведочная отрасли (B2B): отсутствие надежного и автономного источника энергии для питания полевого оборудования, буровых установок и лагерей в удаленных локациях (включая арктические регионы), куда затруднена или экономически невыгодна доставка топлива для дизель-генераторов, а существующие аккумуляторные решения не обеспечивают достаточную автономность. 2. МЧС и военный сектор (B2G): зависимость от логистики топлива при проведении аварийно-спасательных и продолжительных полевых операций; необходимость в бесшумном и малодымном источнике энергии для скрытного размещения и работы электроники в условиях, где шум и тепловая сигнатура дизельных генераторов могут демаскировать объект. 3. Энергетические компании (B2B): проблема утилизации излишков электроэнергии, вырабатываемой электростанциями (особенно ВИЭ) в периоды низкого спроса, и отсутствие эффективных решений для ее долгосрочного аккумулирования с возможностью последующего использования для покрытия пиковых нагрузок или аварийного резервирования.</w:t>
            </w:r>
          </w:p>
        </w:tc>
      </w:tr>
      <w:tr>
        <w:tblPrEx>
          <w:shd w:val="clear" w:color="auto" w:fill="d0ddef"/>
        </w:tblPrEx>
        <w:trPr>
          <w:trHeight w:val="2973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11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6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56" w:firstLine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Потенциальные потребительские сегменты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widowControl w:val="0"/>
              <w:tabs>
                <w:tab w:val="left" w:pos="230"/>
              </w:tabs>
              <w:bidi w:val="0"/>
              <w:spacing w:before="278"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Указывается краткая информация о потенциальных потребителях с указанием их характеристик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детализация предусмотрена в части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3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данной таблицы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):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юридических лиц – категория бизнеса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отрасль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и т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д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.;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физических лиц – демографические данные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вкусы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уровень образования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уровень потребления и т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д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.;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географическое расположение потребителей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сектор рынка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(B2B, B2C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и др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.)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Государственный сектор (B2G): Кто: Министерство по чрезвычайным ситуациям (МЧС), Министерство обороны, научно-исследовательские институты, занимающиеся полевыми работами и экспедициями. География: территории РФ, подверженные природным катастрофам; отдаленные и труднодоступные регионы, включая Арктику; зоны проведения учений и полевых операций. 2. Добывающие и геологоразведочные компании (B2B): Кто: компании геологоразведочной и добывающей отрасли (нефть, газ, руда). География: все регионы с недостаточно развитой энергетической инфраструктурой, включая Сибирь, Дальний Восток, Север РФ, Арктику. 3. Энергетические компании (B2B): Кто: генерирующие компании (включая электростанции на ВИЭ), сетевые компании, операторы энергорынков. География: все регионы РФ, особенно с наличием избыточной генерации (например, регионы с высокой долей ВИЭ) или с потребностью в резервном питании для критических объектов энергосистемы.</w:t>
            </w:r>
          </w:p>
        </w:tc>
      </w:tr>
      <w:tr>
        <w:tblPrEx>
          <w:shd w:val="clear" w:color="auto" w:fill="d0ddef"/>
        </w:tblPrEx>
        <w:trPr>
          <w:trHeight w:val="2313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widowControl w:val="0"/>
              <w:tabs>
                <w:tab w:val="left" w:pos="170"/>
              </w:tabs>
              <w:spacing w:before="278" w:after="0"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12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widowControl w:val="0"/>
              <w:tabs>
                <w:tab w:val="left" w:pos="170"/>
              </w:tabs>
              <w:spacing w:before="278"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На основе какого научно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технического решения и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или результата будет создан продукт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с указанием использования собственных или существующих разработок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)*</w:t>
            </w:r>
          </w:p>
          <w:p>
            <w:pPr>
              <w:pStyle w:val="Normal.0"/>
              <w:keepLines w:val="1"/>
              <w:widowControl w:val="0"/>
              <w:tabs>
                <w:tab w:val="left" w:pos="170"/>
              </w:tabs>
              <w:spacing w:before="278"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tabs>
                <w:tab w:val="left" w:pos="170"/>
              </w:tabs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Указывается необходимый перечень научно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технических решений с их кратким описанием для создания и выпуска на рынок продукта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Продукт создаётся на основании технологии электролиза воды - разделение воды на основные составляющие O2 и H2. Также применяется обратный электролиз с выработкой электричества при совмещении молекул водорода и кислорода. Использование эффективных электролизеров планируется на базе собственных разработок 2. Повышение эффективности электролизера за счет применения импульсных методов питания (PWM), существующие разработки. 3. Использование композитных материалов в баллонах хранения водорода для обеспечения безопасности, существующие разработки. 4. Интеграция всех компонентов в одном корпус-кейсе.</w:t>
            </w:r>
          </w:p>
        </w:tc>
      </w:tr>
      <w:tr>
        <w:tblPrEx>
          <w:shd w:val="clear" w:color="auto" w:fill="d0ddef"/>
        </w:tblPrEx>
        <w:trPr>
          <w:trHeight w:val="2562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13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Бизнес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модель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tabs>
                <w:tab w:val="left" w:pos="41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Указывается кратко описание способа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который планируется использовать для создания ценности и получения прибыли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в том числе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как планируется выстраивать отношения с потребителями и поставщиками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способы привлечения финансовых и иных ресурсов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какие каналы продвижения и сбыта продукта планируется использовать и развивать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и т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д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. 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Ключевые партнеры: поставщики композитных баллонов, PEM мембраны, комплектующих и запчастей для электролизеров, научно-исследовательские институты, сертификационные центры, промышленные предприятия-интеграторы. Ключевые виды деятельности: R&amp;amp;D и оптимизация системы (электролизер + топливный элемент), сборка и тестирование установок, сертификация оборудования, разработка систем управления энергией, монтаж и пусконаладка. Ключевые ресурсы: патент на конструкцию электролизера и всего генератора, действующий прототип, производственные мощности, инженерная команда, программное обеспечение для мониторинга. Ценностное предложение: возможность обеспечить полную энергоавтономию на длительный срок, экологичность и бесшумность работы, готовность к работе за 5 минут, аккумулирование излишков энергии, работа в экстремальных условиях (Арктика). Каналы взаимодействия с клиентами: прямые продажи для B2G/B2B, техническая поддержка, сервисное обслуживание, обучение персонала, индивидуальные консультации. Каналы сбыта: собственный сайт с онлайн-консультациями, участие в отраслевых выставках, партнерские сети в регионах, госзакупки, прямая работа с корпоративными заказчиками. Потребительские сегменты: государственный сектор (МЧС, Министерство обороны), добывающие и геологоразведочные компании, энергетические компании и генерирующие объекты Структура издержек: запчасти и комплектующие, фонд оплаты труда, R&amp;amp;D расходы, сертификация и лицензирование, маркетинг, логистика, гарантийное обслуживание. Потоки поступления доходов: продажа готовых установок, сервисные контракты, арендные решения, гарантийное и постгарантийное обслуживание, модернизация оборудования, опциональные услуги по установке и интеграции.</w:t>
            </w:r>
          </w:p>
        </w:tc>
      </w:tr>
      <w:tr>
        <w:tblPrEx>
          <w:shd w:val="clear" w:color="auto" w:fill="d0ddef"/>
        </w:tblPrEx>
        <w:trPr>
          <w:trHeight w:val="875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14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Основные конкуренты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tabs>
                <w:tab w:val="left" w:pos="41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Кратко указываются основные конкуренты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не менее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5)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Toshiba (H2One) - мобильная водородная энергоустановка контейнерного типа с решением «под ключ», включающим электролизёр, систему хранения и топливный элемент мощностью до 50 кВт. Предложение не представлено на рынке РФ. 2. Дизельные генераторы (20-30 кВт в шумозащитном кожухе без АВР) представлены российскими моделями Фрегат AD-20 (https://dgufregat.ru/catalog/dizelnye-generatory/dizelnyy_generator_20_kvt/?offer=304), Азимут АД-20С (https://www.genseller.ru/product/ad-20s-t400-1rkm19-2), MOTOR АД20 (https://www.genseller.ru/product/dizelnyy-generator-motor-ad20-t400-r-v-kozhuhe) стоимостью 400-800 тыс. руб, отличающимися низкой капитальной стоимостью, но имеющими существенные недостатки в виде высокого уровня шума 75-85 дБ, вредных выбросов и зависимости от топлива. 3. Газопоршневые электростанции типа Фрегат AG-30 (https://dgufregat.ru/catalog/gazoporshnevye_elektrostantsii_/gazoporshnevaya_elektrostantsiya_ag_30_fregat/) мощностью 30 кВт стоят около 1,2 млн руб, обеспечивая более чистые выбросы по сравнению с дизельными генераторами, но сохраняя зависимость от газоснабжения и уровень шума 70-80 дБ. 4. Системы хранения энергии на химических аккумуляторах от DEYE и TOR Energy мощностью 20-30 кВт (https://aliexpress.ru/item/1005009501862283.html?sku_id=12000049296637999 , https://sv-synergy.ru/magazin/product/modulnaya-sistema-nakopleniya-energii-deye-5-kvt/10.24-kvtch , https://ru.famlinkpower.com/products_details/50.html) стоимостью 800 тыс. - 1,5 млн руб предлагают бесшумную работу и быстрый отклик, но страдают от ограниченной емкости, деградации батарей и зависимости от сети для зарядки.</w:t>
            </w:r>
          </w:p>
        </w:tc>
      </w:tr>
      <w:tr>
        <w:tblPrEx>
          <w:shd w:val="clear" w:color="auto" w:fill="d0ddef"/>
        </w:tblPrEx>
        <w:trPr>
          <w:trHeight w:val="1597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15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414"/>
              </w:tabs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Ценностное предложение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tabs>
                <w:tab w:val="left" w:pos="41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Формулируется объяснение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почему клиенты должны вести дела с вами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а не с вашими конкурентами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и с самого начала делает очевидными преимущества ваших продуктов или услуг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Наш автономный генератор помогает компаниям топливно-энергетического комплекса и государственным структурам, которые хотят обеспечить надежное энергоснабжение в удаленных и труднодоступных локациях, тем, что полностью исключает зависимость от поставок топлива и может обеспечить продолжительную работу в любых климатических условиях. В отличие от дизельных генераторов, наше решение не производит вредных выбросов и большого количества шума, а также может размещаться в закрытых помещениях; в сравнении с аккумуляторными системами хранения энергии - обеспечивает значительно большую автономность без деградации характеристик со временем.</w:t>
            </w:r>
          </w:p>
        </w:tc>
      </w:tr>
      <w:tr>
        <w:tblPrEx>
          <w:shd w:val="clear" w:color="auto" w:fill="d0ddef"/>
        </w:tblPrEx>
        <w:trPr>
          <w:trHeight w:val="3849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16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Обоснование реализуемости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устойчивости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бизнеса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конкурентные преимущества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включая наличие уникальных РИД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действующих индустриальных партнеров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доступ к ограниченным ресурсам и т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д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.);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дефицит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дешевизна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уникальность и т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п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.)</w:t>
            </w: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проектов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прошедших во второй этап акселерационной программы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Приведите аргументы в пользу реализуемости бизнес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идеи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в чем ее полезность и востребованность продукта по сравнению с другими продуктами на рынке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чем обосновывается потенциальная прибыльность бизнеса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насколько будет бизнес устойчивым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Единственное в России мобильная энергоустановка «всё в одном кейсе» для полной энергоавтономии; 2. Эффективность электролизера и топливного элемента более 60%; 3. Общие преимущества эксплаутации: не требует монтажа, энергоёмкость выше, чем у АКБ; экологичнее и бесшумнее дизель-генератора; 4. Целевые сегменты (МЧС, геологоразведка, удалённые объекты) имеют высокую стоимость простоя и затрат на топливо. Технологическое преимущество: 1. КПД системы &amp;gt;60% против 40-45% у дизельных генераторов; 2. широкий диапазон рабочих температур: -30°C...+40°C (Арктика и территории со сложным климатом); 3. Замена металлических баллонов на композитные повышает энергоемкость (увеличение внутреннего давления с 200 атм до 700 атм) и безопасность без увеличения массо-габаритных характеристик. Актуальность решения для ЦА: 1. Снижение операционных затрат за счет исключения логистики топлива в удаленных регионах; 2. Возможность аккумулирования энергии на месте (за счет ВИЭ или других источников). Прибыльность: 1. Несколько потоков доходов: продажа, сервис, постгарантийное обслуживание; 2. Акцент на долгосрочное сотрудничество с коммерческими и госкомпаниями и интеграцией в Стратегию развития водородной энергетики; 3. Своевременность производства за счет использования российских комплектующих. Наличие материальной и интеллектуальной базы: команда из 5 человек, опытный образец электролизера, навыки работы в CAD-программах, опыт участия и побед в грантовых конкурсах, опыт предпринимательской и бухгалтерской деятельности, наличие экспертной поддержки СПбГЭТУ «ЛЭТИ»</w:t>
            </w:r>
          </w:p>
        </w:tc>
      </w:tr>
      <w:tr>
        <w:tblPrEx>
          <w:shd w:val="clear" w:color="auto" w:fill="d0ddef"/>
        </w:tblPrEx>
        <w:trPr>
          <w:trHeight w:val="413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2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Характеристика будущего продукта</w:t>
            </w:r>
          </w:p>
        </w:tc>
      </w:tr>
      <w:tr>
        <w:tblPrEx>
          <w:shd w:val="clear" w:color="auto" w:fill="d0ddef"/>
        </w:tblPrEx>
        <w:trPr>
          <w:trHeight w:val="1920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17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Основные технические параметры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включая обоснование соответствия идеи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задела тематическому направлению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лоту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)*</w:t>
            </w:r>
          </w:p>
          <w:p>
            <w:pPr>
              <w:pStyle w:val="Normal.0"/>
              <w:widowControl w:val="0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Необходимо привести основные технические параметры продукта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которые обеспечивают их конкурентоспособность и соответствуют выбранному тематическому направлению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Продукт представляет собой автономный энергокомплекс полного водородного цикла. Габаритные размеры: 1300×750×750 мм. Масса: 350-400 кг. Мощность топливного элемента: 20-30 кВт. Ёмкость накопления: 9 баллонов по 40 л с рабочим давлением 200 атм или 700 атм (повышение давление повышает энергоемкость в ~2,3 раза). Запас электроэнергии 140 / 320 кВт·ч. Автономность работы при постоянном потреблении: до 5 часов при потреблении 30 кВт при 200 атм, до 32 часов 10 кВт при 700 атм. Рабочий температурный диапазон: -30°C...+40°C. КПД системы около 60%. Внутренние компоненты: 1. Электролизер выполнен в цилиндрической форме для обеспечения наиболее высокого внутреннего давления. Электроды толщиной 0,2-0,3 мм из нержавеющей стали AISI 304. Производительность до 10 литров водорода в минуту. Разделение газа выполняется за счет протонообменной мембраны между элетродами. 2. Топливный элемент PEM-типа. 3. Баллоны выполнены из композитного материала для предотвращения водородного охрупчивания. Соответствие тематическому направлению акселератора: «Технологии создания новых и портативных источников энергии».</w:t>
            </w:r>
          </w:p>
        </w:tc>
      </w:tr>
      <w:tr>
        <w:tblPrEx>
          <w:shd w:val="clear" w:color="auto" w:fill="d0ddef"/>
        </w:tblPrEx>
        <w:trPr>
          <w:trHeight w:val="2161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18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Организационные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производственные и финансовые параметры бизнеса</w:t>
            </w: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проектов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прошедших во второй этап акселерационной программы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Приводится видение основателя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(-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лей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стартапа в части выстраивания внутренних процессов организации бизнеса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включая партнерские возможности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Организационная модель: Гибридная структура с собственным инжиниринговым центром и сборочным производством. Ключевые компетенции сосредоточены внутри компании: R&amp;amp;D, проектирование, финальная сборка и тестирование. Комплектующие закупаются у проверенных поставщиков (баллоны, мембраны, электроника). Производственная модель: Мелкосерийное и единичное производство по принципу «базовый модуль + конфигуратор». Базовая платформа (1300×750×750 мм, 20-30 кВт) адаптируется под требования конкретного заказчика через модульное расширение (дополнительные баллоны, специализированные интерфейсы, климатическое исполнение). Финансовые параметры (себестоимость): 1. Водородный топливный элемент - 300 000 руб.; 2. Электролизер - 50 000 руб.; 3. Баллоны под водород 200 атм по 20 000 руб. 9 шт. - 180 000 руб.; 4. Компрессор 200 атм - 145 000 руб.; 5. Система управления (ПЛК, датчики, АВР) - 45 000 руб., 6. Силовая электроника (выпрямитель, инвертор) - 80 000 руб.; 7. Система осушения и охлаждения газа - 35 000 руб.; 8. Металлконструкции (рама, кожух, крепеж) - 40 000 руб.; 9. Прочие компоненты (арматура, трубки, проводка) - 25 000 руб.; 10. Стоимость человеческой работы на сборку 1 устройства - 200 000 руб. Итоговая стоимость 1 устройства - 1,1 млн руб. Стоимость продажи 1,3 млн руб. Стоимость использовании на примере научной станции в арктических условиях при потреблении 1 квт*ч: 1. Генератор на основе водорода - стоимость 1 квт*ч = 22 руб. при локальной выработке и сохранении излишков энергии, автономия 140 часов (стоимость 1 квт*ч снижается, а автономия повышается при повышении внутреннего давления баллонов до 700 атм). 2. Дизель генераторная установка - стоимость 1 квт*ч = 75 руб. (стоимость литра 75 руб + 15 руб логистика * 120 литров бак = 12 000 руб / 160 кВт*ч общая энергия бака = 75 руб./кВт*ч стоимость 1 л.), автономия 16 часов при баке 120 литров при производстве 1кВт. Стоимость пользования генератора на водороде в 3,4 раза дешевле (без учета обслуживания: расходные комплектующие, масло, фильтры, амортизация и т.п.).</w:t>
            </w:r>
          </w:p>
        </w:tc>
      </w:tr>
      <w:tr>
        <w:tblPrEx>
          <w:shd w:val="clear" w:color="auto" w:fill="d0ddef"/>
        </w:tblPrEx>
        <w:trPr>
          <w:trHeight w:val="2643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19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Основные конкурентные преимущества</w:t>
            </w: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проектов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прошедших во второй этап акселерационной программы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Необходимо привести описание наиболее значимых качественных и количественных характеристик продукта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которые обеспечивают конкурентные преимущества в сравнении с существующими аналогами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сравнение по стоимостным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техническим параметрам и проч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.)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Полная энергоавтономия и независимость от логистики топлива: система аккумулирует излишки энергии от локальных источников (ВИЭ, электростанции) и обеспечивает резервное питание до 140 часов при мощности 1 кВт. 2. Экологичность и бесшумность работы: нулевые выбросы, уровень шума менее 55 дБ, что позволяет размещать оборудование в закрытых помещениях и на охраняемых природных территориях. 3. Работа в экстремальных условиях: диапазон рабочих температур от -30°C до +40°C. 4. Стоимость использовании на примере научной станции в арктических условиях при потреблении 1 квт*ч: 1. Генератор на основе водорода - стоимость 1 квт*ч = 22 руб. при локальной выработке и сохранении излишков энергии, автономия 140 часов (стоимость 1 квт*ч снижается, а автономия повышается при повышении внутреннего давления баллонов до 700 атм). 2. Дизель генераторная установка - стоимость 1 квт*ч = 75 руб. (стоимость литра 75 руб + 15 руб логистика * 120 литров бак = 12 000 руб / 160 кВт*ч общая энергия бака = 75 руб./кВт*ч стоимость 1 л.), автономия 16 часов при баке 120 литров при производстве 1кВт. Стоимость пользования генератора на водороде в 3,4 раза дешевле (без учета обслуживания: расходные комплектующие, масло, фильтры, амортизация и т.п.).</w:t>
            </w:r>
          </w:p>
        </w:tc>
      </w:tr>
      <w:tr>
        <w:tblPrEx>
          <w:shd w:val="clear" w:color="auto" w:fill="d0ddef"/>
        </w:tblPrEx>
        <w:trPr>
          <w:trHeight w:val="3082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20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Научно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техническое решение и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или результаты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необходимые для создания продукции</w:t>
            </w: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проектов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прошедших во второй этап акселерационной программы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Описываются технические параметры научно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технических решений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/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результатов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указанных пункте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12,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подтверждающие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/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обосновывающие достижение характеристик продукта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обеспечивающих их конкурентоспособность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Электролизер - КПД не менее 60%, внутреннее рабочее давление до 20 атм., производительность 10 л/мин.; 2. Топливный элемент - КПД не менее 60%, выдаваемая мощность до 30 кВт, Рабочий температурный диапазон: -30°C...+40°C; 3. Баллоны для хранения водорода - коэффициент запаса прочности: 2,25 (соответствие стандарту ISO 15869), внутреннее давление 200 атм или 700 атм, материал: сталь, металлкомпозитные, композитные, баллоны по 40 литров, количество 9 штук; 4. Интегрированная система управления энергией: система автоматического ввода резерва, автономность до 140 часов при потреблении 1 кВт*ч, общая ёмкость системы 360 литров 5. Масса-габаритные характеристики корпуса: размер 1300×750×750 мм., масса 350-400 кг.</w:t>
            </w:r>
          </w:p>
        </w:tc>
      </w:tr>
      <w:tr>
        <w:tblPrEx>
          <w:shd w:val="clear" w:color="auto" w:fill="d0ddef"/>
        </w:tblPrEx>
        <w:trPr>
          <w:trHeight w:val="2846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21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«Задел»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Уровень готовности продукта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TRL</w:t>
            </w: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Fonts w:ascii="Times New Roman" w:cs="Times New Roman" w:hAnsi="Times New Roman" w:eastAsia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проектов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прошедших во второй этап акселерационной программы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)*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Необходимо указать максимально емко и кратко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насколько проработан стартап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проект по итогам прохождения акселерационной программы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организационные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кадровые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материальные и др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.),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позволяющие максимально эффективно развивать стартап дальше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Уровень готовности продукта - TRL2 Текущее состояние проекта: создан образец электролизера, способный демонстрировать принцип работы электролиза; собрана основная команда; создан 3D-макет внешнего вида и устройства генератора; определена целевая аудитория проекта; сформулирована технологическая концепция</w:t>
            </w:r>
          </w:p>
        </w:tc>
      </w:tr>
      <w:tr>
        <w:tblPrEx>
          <w:shd w:val="clear" w:color="auto" w:fill="d0ddef"/>
        </w:tblPrEx>
        <w:trPr>
          <w:trHeight w:val="1899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22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Соответствие проекта научным и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или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научно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техническим приоритетам образовательной организации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региона заявителя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предприятия</w:t>
            </w: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проектов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прошедших во второй этап акселерационной программы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Программа «Приоритет 2030»; 2. Энергетическая стратегия России до 2050 года, утверждённая правительством РФ 12 апреля 2025 года; 3. Соответствие рынкам EnergyNet и EduNet; 4. Соответствие сквозным технологиям «Технологии создания новых и портативных источников энергии»; 5. Соответствие технологическим направлениям «Технологии создания высокоэффективных систем генерации, распределения и хранения энергии (в том числе атомной)»; 6. Приоритеты Санкт-Петербурга в области зеленой энергетики.</w:t>
            </w:r>
          </w:p>
        </w:tc>
      </w:tr>
      <w:tr>
        <w:tblPrEx>
          <w:shd w:val="clear" w:color="auto" w:fill="d0ddef"/>
        </w:tblPrEx>
        <w:trPr>
          <w:trHeight w:val="2135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23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Каналы продвижения будущего продукта</w:t>
            </w: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Fonts w:ascii="Times New Roman" w:cs="Times New Roman" w:hAnsi="Times New Roman" w:eastAsia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проектов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прошедших во второй этап акселерационной программы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Необходимо указать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какую маркетинговую стратегию планируется применять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привести кратко аргументы в пользу выбора тех или иных каналов продвижения 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Маркетинговая стратегия основана на прямых продажах в целевых B2B/B2G сегментах. Основной акцент делается на выстраивании долгосрочных отношений за счет решения целевой потребности качественным продуктом. Исходя, определяем следующие каналы продвижения: 1. Специализированные отраслевые выставки (RAWI, Электрические сети, Арктика и т.п.) для установления прямых контактов с представителями целевой аудитории; 2. Публикация технических статей в профильных изданиях (Энергополис, Энергоэксперт) для формирования статуса экспертов в области водородной энергетики; 3. Рассылка коммерческих предложений с привязкой к конкретным проектам заказчиков (например, программы освоения Арктики или модернизации резервных систем энергоснабжения) или к конкретному роду деятельности.</w:t>
            </w:r>
          </w:p>
        </w:tc>
      </w:tr>
      <w:tr>
        <w:tblPrEx>
          <w:shd w:val="clear" w:color="auto" w:fill="d0ddef"/>
        </w:tblPrEx>
        <w:trPr>
          <w:trHeight w:val="1899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24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Каналы сбыта будущего продукта</w:t>
            </w: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Fonts w:ascii="Times New Roman" w:cs="Times New Roman" w:hAnsi="Times New Roman" w:eastAsia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проектов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прошедших во второй этап акселерационной программы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Указать какие каналы сбыта планируется использовать для реализации продукта и дать кратко обоснование выбора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Основными каналами сбыта являются прямые продажи и участие в госзакупках, что обусловлено спецификой целевых сегментов B2B/B2G: 1. Прямые договоры с корпоративными заказчиками из сегмента B2B (очные соглашения, онлайн заказы); 2. Участие в конкурсах и аукционах для государственных нужд через систему электронных торговых площадок; 3. Партнерства с системными интеграторами, осуществляющими комплексные проекты по оснащению удаленных объектов инфраструктурой.</w:t>
            </w:r>
          </w:p>
        </w:tc>
      </w:tr>
      <w:tr>
        <w:tblPrEx>
          <w:shd w:val="clear" w:color="auto" w:fill="d0ddef"/>
        </w:tblPrEx>
        <w:trPr>
          <w:trHeight w:val="704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2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Next w:val="1"/>
              <w:spacing w:before="120" w:after="120" w:line="276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Характеристика проблемы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br w:type="textWrapping"/>
              <w:t>на решение которой направлен стартап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проект</w:t>
            </w:r>
          </w:p>
        </w:tc>
      </w:tr>
      <w:tr>
        <w:tblPrEx>
          <w:shd w:val="clear" w:color="auto" w:fill="d0ddef"/>
        </w:tblPrEx>
        <w:trPr>
          <w:trHeight w:val="1899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25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Какая часть проблемы решается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может быть решена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)*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Необходимо детально раскрыть вопрос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поставленный в пункте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10,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описав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какая часть проблемы или вся проблема решается с помощью стартап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проекта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Добывающая и геологоразведочная отрасли (B2B): полностью решается проблема зависимости от логистики топлива и ограниченной автономности существующих решений. Обеспечение длительной энергоавтономии за счет циклического накопления и преобразования энергии, что исключает необходимость регулярной доставки дизельного топлива в удаленные локации. 2. МЧС и военный сектор (B2G): решается проблема логистики дизельного топлива, а также демаскирующих признаков работы энергоустановки. Система обеспечивает бесшумную работу (уровень шума ниже 55 дБ) и отсутствие тепловой сигнатуры, что позволяет сохранять скрытность расположения объектов при полном обеспечении их энергетических потребностей. 3. Энергетические компании (B2B): решается проблема утилизации излишков электроэнергии и их долгосрочного аккумулирования. Избыточная энергия накапливается в периоды низкого спроса и используется для покрытия пиковых нагрузок или аварийного резервирования, обеспечивая тем самым балансировку энергосистемы.</w:t>
            </w:r>
          </w:p>
        </w:tc>
      </w:tr>
      <w:tr>
        <w:tblPrEx>
          <w:shd w:val="clear" w:color="auto" w:fill="d0ddef"/>
        </w:tblPrEx>
        <w:trPr>
          <w:trHeight w:val="2135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26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«Держатель» проблемы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его мотивации и возможности решения проблемы с использованием продукции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Необходимо детально описать взаимосвязь между выявленной проблемой и потенциальным потребителем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см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пункты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9, 10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и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11) 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Добывающие и геологоразведочные компании (B2B): Держатель проблемы: компании, ведущие разведку и добычу полезных ископаемых в удаленных регионах (Сибирь, Дальний Восток, Арктика). Взаимосвязь и мотивация: их деятельность напрямую зависит от бесперебойного энергоснабжения буровых установок и полевых лагерей. Высокая стоимость и сложность логистики доставки дизельного топлива (до 100 руб/литр в Арктике) напрямую снижают рентабельность проектов. Аккумуляторные решения не обеспечивают достаточную автономность для длительных работ. Решение продуктом: генератор способен обеспечить энергоавтономию на длительный срок, исключая постоянные затраты на топливную логистику. Возможность работы при экстремально низких температурах (до -30°C) делает его надежным решением для арктических условий. 2. Государственный сектор (МЧС и Министерство обороны) (B2G): Держатель проблемы: подразделения, отвечающие за проведение аварийно-спасательных работ, полевых операций и обеспечение функционирования критической инфраструктуры в условиях ЧС. Взаимосвязь и мотивация: эффективность их работы критически зависит от мобильности и скрытности. Шум и тепловая сигнатура дизельных генераторов демаскируют расположение, а зависимость от цепочки поставок ГСМ делает подразделения уязвимыми. Решение продуктом: бесшумная работа и отсутствие выбросов позволяют размещать установку непосредственно рядом с полевым лагерем или объектом, не обнаруживая его. Полная независимость от топливной логистики повышает автономность и мобильность подразделений, что критически важно в ходе продолжительных операций или в зонах катастроф. 3. Энергетические компании (B2B): Держатель проблемы: малые генерирующие компании, особенно те, что используют непостоянные возобновляемые источники (ВИЭ), а также операторы энергосистем. Взаимосвязь и мотивация: дисбаланс между выработкой и потреблением. Излишки электроэнергии, производимые в периоды низкого спроса (например, ночью ветряными электростанциями), теряются, а в пиковые часы может возникать дефицит. Это приводит к потерям доходов и необходимости держать дорогостоящие резервные мощности. Решение продуктом: накопитель решает проблему аккумулирования. Он преобразует излишки электроэнергии в водород, который хранится длительное время без потерь, а затем преобразуется обратно в электричество в периоды пикового спроса или при отсутствии генерации от ВИЭ. Это позволяет снизить нагрузку на сети и использовать «зеленую» энергию более эффективно, что соответствует общемировому тренду на декарбонизацию, отмечаемому и в России .</w:t>
            </w:r>
          </w:p>
        </w:tc>
      </w:tr>
      <w:tr>
        <w:tblPrEx>
          <w:shd w:val="clear" w:color="auto" w:fill="d0ddef"/>
        </w:tblPrEx>
        <w:trPr>
          <w:trHeight w:val="1425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27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Каким способом будет решена проблема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Необходимо описать детально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как именно ваши товары и услуги помогут потребителям справляться с проблемой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 Для добывающих компаний: установка развертывается на удаленном объекте и подключается к локальному источнику энергии (дизельный генератор, ВИЭ). В периоды низкой нагрузки система аккумулирует избыточную энергию путем электролиза воды, производя до 10 л/мин водорода (в зависимости от поступающего тока). Газ хранится в баллонах 200 атм. При необходимости водород преобразуется обратно в электроэнергию через топливный элемент мощностью 20-30 кВт, обеспечивая автономную работу оборудования. 2. Для МЧС и военных: система поставляется в предварительно заряженном состоянии. Бесшумная работа (менее 55 дБ) и отсутствие тепловой сигнатуры обеспечивают скрытность размещения. Быстрое развертывание (без необходимости аккумулирования) позволяет оперативно обеспечить питанием полевой штаб или оборудование. Запас энергии поддерживает работу систем связи и наблюдения длительное время без необходимости дозаправки. 3. Для энергетических компаний: установка интегрируется в энергосистему предприятия для аккумулирования излишков генерации. КПД цикла «электричество-водород-электричество» составляет 40-45%, что эффективнее альтернативных решений для сезонного хранения. Система позволяет накапливать до 320 кВт·ч энергии с возможностью ее обратной выдачи в сеть в периоды пиковых нагрузок.</w:t>
            </w:r>
          </w:p>
        </w:tc>
      </w:tr>
      <w:tr>
        <w:tblPrEx>
          <w:shd w:val="clear" w:color="auto" w:fill="d0ddef"/>
        </w:tblPrEx>
        <w:trPr>
          <w:trHeight w:val="2609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28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Оценка потенциала «рынка» и рентабельности бизнеса</w:t>
            </w: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Fonts w:ascii="Times New Roman" w:cs="Times New Roman" w:hAnsi="Times New Roman" w:eastAsia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проектов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прошедших во второй этап акселерационной программы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</w:t>
            </w:r>
          </w:p>
          <w:p>
            <w:pPr>
              <w:pStyle w:val="Normal.0"/>
              <w:keepLines w:val="1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Необходимо привести кратко обоснование сегмента и доли рынка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потенциальные возможности для масштабирования бизнеса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а также детально раскрыть информацию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указанную в пункте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16.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Оценка рынка производилась на 2024 год в долларах, перевод в рубли по курсу 1$ = 81,91 руб - PAM - $169 млрд (~13,9 трлн руб.) - всемирный рынок водородной энергетики по данным отчета GMI1107 от Global Market Insights; - TAM - $1,7 млрд (~140 млрд руб.) - рынок России, СНГ и Европы по данным отчета №495806 от Verified Market Reports; - SAM - $88 млн (~17,2 млрд руб.) - Российский рынок по данным отчета «Рынок электролизеров в России» от MaksiOma; - SOM - $8,8 млн (~1,72 млрд руб.) - 10% от SAM, реально достижимый объём рынка. Актуальность и приоритет развития рынка подтверждается Распоряжением Правительства Российской Федерации от 12 апреля 2025 г. № 908-р об утверждении «Энергетической стратегии Российской Федерации на период до 2050 года», в котором развитие зелёной водородной энергетики является приоритетным. Рынок имеет тенденцию к росту, что подтверждают отчеты и рост мирового производства водородного газа: - 2020 год - 90 млн тонн; - 2021 год - 94 млн тонн; - 2022 год - 98 млн тонн (составляет 6% от общего потребления природного газа и 2% потребления угля). По данным Центра водородных технологий МГТУ им. Н. Э. Баумана. Рентабельность бизнеса: При себестоимости установки 1.1 млн руб. и цене продажи 1.3 млн руб., валовая маржа составляет 21%. Для достижения плановых показателей требуется продажа 8-10 установок ежегодно.</w:t>
            </w:r>
          </w:p>
        </w:tc>
      </w:tr>
      <w:tr>
        <w:tblPrEx>
          <w:shd w:val="clear" w:color="auto" w:fill="d0ddef"/>
        </w:tblPrEx>
        <w:trPr>
          <w:trHeight w:val="2372" w:hRule="atLeast"/>
        </w:trPr>
        <w:tc>
          <w:tcPr>
            <w:tcW w:type="dxa" w:w="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keepLines w:val="1"/>
              <w:spacing w:after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29</w:t>
            </w:r>
          </w:p>
        </w:tc>
        <w:tc>
          <w:tcPr>
            <w:tcW w:type="dxa" w:w="4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План дальнейшего развития стартап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проекта</w:t>
            </w:r>
          </w:p>
          <w:p>
            <w:pPr>
              <w:pStyle w:val="Normal.0"/>
              <w:keepLines w:val="1"/>
              <w:bidi w:val="0"/>
              <w:spacing w:after="0"/>
              <w:ind w:left="0" w:right="0" w:firstLine="0"/>
              <w:jc w:val="left"/>
              <w:rPr>
                <w:rFonts w:ascii="Times New Roman" w:cs="Times New Roman" w:hAnsi="Times New Roman" w:eastAsia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для проектов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прошедших во второй этап акселерационной программы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</w:t>
            </w:r>
          </w:p>
          <w:p>
            <w:pPr>
              <w:pStyle w:val="Normal.0"/>
              <w:spacing w:after="0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Укажите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какие шаги будут предприняты в течение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6-12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месяцев после завершения прохождения акселерационной программы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какие меры поддержки планируется привлечь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ind w:firstLine="36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Этап 1 (1-8 месяцы): подача заявки на грант «Студенческий стартап» (ФСИ), детализация ТЗ на прототип, верификация требований у целевых клиентов (интервью). Этап 2 (8-20 месяцы): закупка компонентов, сборка прототипа и отладка ключевых узлов, стендовые испытания базовых параметров (КПД, мощность, безопасность). Этап 3 (20-26 месяцы): участие в отраслевых конференциях и выставках, презентация прототипа потенциальным инвесторам и стратегическим партнерам, привлечение дополнительного финансирования и заинтересованного партнера. Этап 4 (26-36 месяцы): разработка MVP, проведение стресс-тестов, организация пилотных испытаний в реальных условиях на площадке партнера. Этап 5 (36-48 месяцы): доработка продукта и документации по итогам испытаний, получение необходимых сертификатов, формирование ценовой политики и коммерческих предложений, заключение первого коммерческого контракта на поставку и внедрение.</w:t>
            </w:r>
          </w:p>
        </w:tc>
      </w:tr>
    </w:tbl>
    <w:p>
      <w:pPr>
        <w:pStyle w:val="Normal.0"/>
        <w:widowControl w:val="0"/>
        <w:spacing w:line="240" w:lineRule="auto"/>
        <w:ind w:left="216" w:hanging="216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.0"/>
        <w:widowControl w:val="0"/>
        <w:spacing w:line="240" w:lineRule="auto"/>
        <w:ind w:left="108" w:hanging="108"/>
      </w:pP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r>
    </w:p>
    <w:sectPr>
      <w:headerReference w:type="default" r:id="rId4"/>
      <w:footerReference w:type="default" r:id="rId5"/>
      <w:pgSz w:w="11900" w:h="16840" w:orient="portrait"/>
      <w:pgMar w:top="426" w:right="851" w:bottom="568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nsPlusNormal">
    <w:name w:val="ConsPlusNormal"/>
    <w:next w:val="ConsPlus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Нет A">
    <w:name w:val="Нет A"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64" w:lineRule="auto"/>
      <w:ind w:left="0" w:right="0" w:firstLine="0"/>
      <w:jc w:val="left"/>
      <w:outlineLvl w:val="0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Основной текст A">
    <w:name w:val="Основной текст A"/>
    <w:next w:val="Основно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 A">
    <w:name w:val="Normal A"/>
    <w:next w:val="Normal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0" dist="0" dir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0" dist="0" dir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