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B8" w:rsidRDefault="00E7334D">
      <w:pPr>
        <w:pStyle w:val="ConsPlusNormal"/>
        <w:jc w:val="right"/>
      </w:pPr>
      <w:r>
        <w:rPr>
          <w:rStyle w:val="A5"/>
        </w:rPr>
        <w:t>Приложение № 15 к Договору</w:t>
      </w:r>
    </w:p>
    <w:p w:rsidR="00905EB8" w:rsidRDefault="00E7334D">
      <w:pPr>
        <w:spacing w:before="91"/>
        <w:ind w:right="17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28.06.2023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70-2023-000623</w:t>
      </w:r>
    </w:p>
    <w:p w:rsidR="00905EB8" w:rsidRDefault="00905EB8">
      <w:pPr>
        <w:spacing w:before="91"/>
        <w:ind w:right="1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5EB8" w:rsidRDefault="00E7334D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Паспорт стартап</w:t>
      </w:r>
      <w:r>
        <w:rPr>
          <w:rFonts w:ascii="Times New Roman" w:hAnsi="Times New Roman"/>
          <w:b/>
          <w:bCs/>
          <w:caps/>
          <w:sz w:val="32"/>
          <w:szCs w:val="32"/>
        </w:rPr>
        <w:t>-</w:t>
      </w:r>
      <w:r>
        <w:rPr>
          <w:rFonts w:ascii="Times New Roman" w:hAnsi="Times New Roman"/>
          <w:b/>
          <w:bCs/>
          <w:caps/>
          <w:sz w:val="32"/>
          <w:szCs w:val="32"/>
        </w:rPr>
        <w:t xml:space="preserve">проекта </w:t>
      </w:r>
    </w:p>
    <w:p w:rsidR="00905EB8" w:rsidRDefault="00905EB8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tbl>
      <w:tblPr>
        <w:tblStyle w:val="TableNormal"/>
        <w:tblW w:w="9911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55"/>
        <w:gridCol w:w="4956"/>
      </w:tblGrid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hyperlink w:history="1">
              <w:r w:rsidR="00E7334D">
                <w:t>https://pt.2035.university/project/ocistka-vodoemov-ot-nefteproduktov-s-pomosu-magnitnoj-zidkosti</w:t>
              </w:r>
            </w:hyperlink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29.12.2023 07:39</w:t>
            </w:r>
          </w:p>
        </w:tc>
      </w:tr>
    </w:tbl>
    <w:p w:rsidR="00905EB8" w:rsidRDefault="00905EB8">
      <w:pPr>
        <w:widowControl w:val="0"/>
        <w:spacing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905EB8" w:rsidRDefault="00905EB8">
      <w:pPr>
        <w:widowControl w:val="0"/>
        <w:spacing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905EB8" w:rsidRDefault="00905EB8">
      <w:pPr>
        <w:widowControl w:val="0"/>
        <w:spacing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905EB8" w:rsidRDefault="00905EB8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905EB8" w:rsidRDefault="00905E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905EB8" w:rsidRDefault="00905EB8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55"/>
        <w:gridCol w:w="4956"/>
      </w:tblGrid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</w:pPr>
            <w:r>
              <w:rPr>
                <w:rFonts w:ascii="Times New Roman" w:hAnsi="Times New Roman"/>
              </w:rPr>
              <w:t xml:space="preserve">Наименование образовательной организации высшего образования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Получателя гранта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r>
              <w:t>ФГБОУ ВО «Ивановский государственный энергетический университет имени В.И. Ленина»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Карточка ВУЗа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ИНН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Ивановская область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Наименование акселерационной программы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Акселерационная программа ЭнергоГрад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70-2023-000623 28.06.2023</w:t>
            </w:r>
          </w:p>
        </w:tc>
      </w:tr>
    </w:tbl>
    <w:p w:rsidR="00905EB8" w:rsidRDefault="00905EB8">
      <w:pPr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4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1"/>
        <w:gridCol w:w="4379"/>
        <w:gridCol w:w="5031"/>
      </w:tblGrid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 стартап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проекте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Pr="00E47B4C" w:rsidRDefault="00E7334D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hint="eastAsia"/>
                <w:lang w:val="ru-RU"/>
              </w:rPr>
            </w:pPr>
            <w:r w:rsidRPr="00E47B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Очистка водоёмов от нефтепродуктов с помощью </w:t>
            </w:r>
            <w:r w:rsidRPr="00E47B4C">
              <w:rPr>
                <w:rFonts w:ascii="Times New Roman" w:hAnsi="Times New Roman"/>
                <w:sz w:val="20"/>
                <w:szCs w:val="20"/>
                <w:lang w:val="ru-RU"/>
              </w:rPr>
              <w:t>магнитной жидкости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E7334D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тема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 в рамках темы акселерационной программы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Рынках НТИ и Сквозных технологиях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Очистка водоемов от нефтепродуктов с помощью магнитной жидкости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 w:rsidRPr="00E47B4C">
              <w:rPr>
                <w:rFonts w:ascii="Times New Roman" w:hAnsi="Times New Roman"/>
                <w:sz w:val="20"/>
                <w:szCs w:val="20"/>
              </w:rPr>
              <w:t xml:space="preserve">Технологии мониторинга и прогнозирования состояния окружающей среды, предотвращения и ликвидации ее 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загрязнения., Технологии предупреждения и ликвидации чрезвычайных ситуаций природного и техногенного характера.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EcoNet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Зеленая энергетика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6"/>
            </w:pPr>
            <w:r>
              <w:rPr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Лидер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Pr="00E47B4C" w:rsidRDefault="00E7334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E47B4C">
              <w:rPr>
                <w:sz w:val="20"/>
                <w:szCs w:val="20"/>
                <w:lang w:val="ru-RU"/>
              </w:rPr>
              <w:t>-</w:t>
            </w:r>
            <w:r w:rsidRPr="00E47B4C">
              <w:rPr>
                <w:sz w:val="20"/>
                <w:szCs w:val="20"/>
                <w:lang w:val="ru-RU"/>
              </w:rPr>
              <w:t xml:space="preserve"> 1554126</w:t>
            </w:r>
          </w:p>
          <w:p w:rsidR="00905EB8" w:rsidRPr="00E47B4C" w:rsidRDefault="00E7334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E47B4C">
              <w:rPr>
                <w:sz w:val="20"/>
                <w:szCs w:val="20"/>
                <w:lang w:val="ru-RU"/>
              </w:rPr>
              <w:t>- 5117855</w:t>
            </w:r>
          </w:p>
          <w:p w:rsidR="00905EB8" w:rsidRPr="00E47B4C" w:rsidRDefault="00E7334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E47B4C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Чванов Олег Владимирович</w:t>
            </w:r>
          </w:p>
          <w:p w:rsidR="00905EB8" w:rsidRPr="00E47B4C" w:rsidRDefault="00E7334D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- 89158350759</w:t>
            </w:r>
          </w:p>
          <w:p w:rsidR="00905EB8" w:rsidRPr="00E47B4C" w:rsidRDefault="00E7334D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chvanov.oleg2017@yandex.ru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TableText"/>
              <w:widowControl w:val="0"/>
              <w:suppressAutoHyphens w:val="0"/>
              <w:spacing w:after="0"/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Pr="00E47B4C" w:rsidRDefault="00E7334D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Командастартап-проекта (участники стартап-проекта, которые работают в рамках акселерационной программы)</w:t>
            </w:r>
          </w:p>
          <w:tbl>
            <w:tblPr>
              <w:bidiVisual/>
              <w:tblW w:w="5000" w:type="pct"/>
              <w:tblLayout w:type="fixed"/>
              <w:tblLook w:val="04A0"/>
            </w:tblPr>
            <w:tblGrid>
              <w:gridCol w:w="1027"/>
              <w:gridCol w:w="1027"/>
              <w:gridCol w:w="1028"/>
              <w:gridCol w:w="1028"/>
              <w:gridCol w:w="1028"/>
              <w:gridCol w:w="1028"/>
              <w:gridCol w:w="1028"/>
              <w:gridCol w:w="1028"/>
              <w:gridCol w:w="1028"/>
            </w:tblGrid>
            <w:tr w:rsidR="00E47B4C">
              <w:tc>
                <w:tcPr>
                  <w:tcW w:w="1000" w:type="dxa"/>
                </w:tcPr>
                <w:p w:rsidR="00905EB8" w:rsidRDefault="00E7334D">
                  <w:r>
                    <w:t>№</w:t>
                  </w:r>
                </w:p>
              </w:tc>
              <w:tc>
                <w:tcPr>
                  <w:tcW w:w="1000" w:type="dxa"/>
                </w:tcPr>
                <w:p w:rsidR="00905EB8" w:rsidRDefault="00E7334D">
                  <w:r>
                    <w:t>Unti ID</w:t>
                  </w:r>
                </w:p>
              </w:tc>
              <w:tc>
                <w:tcPr>
                  <w:tcW w:w="1000" w:type="dxa"/>
                </w:tcPr>
                <w:p w:rsidR="00905EB8" w:rsidRDefault="00E7334D">
                  <w:r>
                    <w:t>Leader ID</w:t>
                  </w:r>
                </w:p>
              </w:tc>
              <w:tc>
                <w:tcPr>
                  <w:tcW w:w="1000" w:type="dxa"/>
                </w:tcPr>
                <w:p w:rsidR="00905EB8" w:rsidRDefault="00E7334D">
                  <w:r>
                    <w:t>ФИО</w:t>
                  </w:r>
                </w:p>
              </w:tc>
              <w:tc>
                <w:tcPr>
                  <w:tcW w:w="1000" w:type="dxa"/>
                </w:tcPr>
                <w:p w:rsidR="00905EB8" w:rsidRDefault="00E7334D">
                  <w:r>
                    <w:t>Роль в проекте</w:t>
                  </w:r>
                </w:p>
              </w:tc>
              <w:tc>
                <w:tcPr>
                  <w:tcW w:w="1000" w:type="dxa"/>
                </w:tcPr>
                <w:p w:rsidR="00905EB8" w:rsidRDefault="00E7334D">
                  <w:r>
                    <w:t>Телефон</w:t>
                  </w:r>
                </w:p>
              </w:tc>
              <w:tc>
                <w:tcPr>
                  <w:tcW w:w="1000" w:type="dxa"/>
                </w:tcPr>
                <w:p w:rsidR="00905EB8" w:rsidRDefault="00E7334D">
                  <w:r>
                    <w:t>Почта</w:t>
                  </w:r>
                </w:p>
              </w:tc>
              <w:tc>
                <w:tcPr>
                  <w:tcW w:w="1000" w:type="dxa"/>
                </w:tcPr>
                <w:p w:rsidR="00905EB8" w:rsidRDefault="00E7334D">
                  <w:r>
                    <w:t>Должность</w:t>
                  </w:r>
                </w:p>
              </w:tc>
              <w:tc>
                <w:tcPr>
                  <w:tcW w:w="1000" w:type="dxa"/>
                </w:tcPr>
                <w:p w:rsidR="00905EB8" w:rsidRDefault="00E7334D">
                  <w:r>
                    <w:t>Опыт и квалификация</w:t>
                  </w:r>
                </w:p>
              </w:tc>
            </w:tr>
          </w:tbl>
          <w:p w:rsidR="00905EB8" w:rsidRDefault="00905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6"/>
            </w:pPr>
            <w:r>
              <w:rPr>
                <w:rFonts w:ascii="Times New Roman" w:hAnsi="Times New Roman"/>
              </w:rPr>
              <w:t>плаН реализации стартап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проекта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краткая информация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знаков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без пробелов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проекте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краткий реферат 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детализация отдельных блоков предусмотрена другими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разделами Паспорта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цели и задачи 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ожидаемые результаты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области применения результатов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потенциальные потребительские сегменты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Разлив нефтепродуктов - это локальная экологическая катастрофа для водоёма, которая может нанести непоправимый вред окр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ужающей среде. Необходимо быстро и эффективно устранить нефтепродукты с поверхности воды. Это можно сделать с помощью магнитной жидкости. Магнитная жидкость образует с нефтепродуктами устойчивый коллоидный раствор, который можно удалить при помощи электром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агнита.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бизнес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идея 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Какой продукт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товар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услуга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процесс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будет продаваться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лежащем в основе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благодаря реализации которого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планируется получать основной доход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Конструкция использующая технологию на основе магнитной жидкости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8"/>
              <w:ind w:left="0" w:firstLine="0"/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Pr="00E47B4C" w:rsidRDefault="00E7334D">
            <w:pPr>
              <w:pStyle w:val="a8"/>
              <w:ind w:left="0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Какую и чью (какого типа потребителей) проблему решает*</w:t>
            </w:r>
          </w:p>
          <w:p w:rsidR="00905EB8" w:rsidRDefault="00905EB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которую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полностью или частично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сможет решить ваш продукт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Наш продукт помогает решать проблему сбора нефтепродуктов для снижения вреда экологии и снижения суммы штрафов.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r>
              <w:rPr>
                <w:sz w:val="20"/>
                <w:szCs w:val="20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6" w:type="dxa"/>
              <w:bottom w:w="80" w:type="dxa"/>
              <w:right w:w="80" w:type="dxa"/>
            </w:tcMar>
          </w:tcPr>
          <w:p w:rsidR="00905EB8" w:rsidRDefault="00E7334D">
            <w:pPr>
              <w:ind w:lef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905EB8" w:rsidRPr="00E47B4C" w:rsidRDefault="00E7334D">
            <w:pPr>
              <w:pStyle w:val="a8"/>
              <w:tabs>
                <w:tab w:val="left" w:pos="230"/>
              </w:tabs>
              <w:ind w:left="0" w:firstLine="0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</w:t>
            </w:r>
            <w:r>
              <w:rPr>
                <w:i/>
                <w:iCs/>
                <w:sz w:val="20"/>
                <w:szCs w:val="20"/>
                <w:lang w:val="ru-RU"/>
              </w:rPr>
              <w:t>вень образования, уровень потребления и т.д.; географическое расположение потребителей, сектор рынка (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Goverment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например МЧС,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первый сегмент, в нем нефтеперевозчики, нефтепродукты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8"/>
              <w:keepLines/>
              <w:tabs>
                <w:tab w:val="left" w:pos="170"/>
              </w:tabs>
              <w:ind w:left="0" w:firstLine="0"/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Pr="00E47B4C" w:rsidRDefault="00E7334D">
            <w:pPr>
              <w:pStyle w:val="a8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bCs/>
                <w:sz w:val="20"/>
                <w:szCs w:val="20"/>
                <w:lang w:val="ru-RU"/>
              </w:rPr>
              <w:t>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905EB8" w:rsidRDefault="00905EB8">
            <w:pPr>
              <w:pStyle w:val="a8"/>
              <w:keepLines/>
              <w:tabs>
                <w:tab w:val="left" w:pos="170"/>
              </w:tabs>
              <w:ind w:left="0" w:firstLine="0"/>
              <w:rPr>
                <w:sz w:val="20"/>
                <w:szCs w:val="20"/>
                <w:lang w:val="ru-RU"/>
              </w:rPr>
            </w:pPr>
          </w:p>
          <w:p w:rsidR="00905EB8" w:rsidRDefault="00E7334D">
            <w:pPr>
              <w:keepLines/>
              <w:tabs>
                <w:tab w:val="left" w:pos="170"/>
              </w:tabs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технических решений с их кратким описанием для создания и выпуска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 рынок продукта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 xml:space="preserve">На электромеханической кафедре ведется научно-исследовательская работа по применению средств магнитной жидкости в разных ситуациях с 1969 года. С помощью опытов (уточнить каких) установлена эффективность применения магнитной жидкости для 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быстрого сбора нефтяных пятен. Эти исследования лягут в основу создания конструкции для сбора нефтяных пятен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модель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кратко описание способа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который планируется использовать для создания ценности и получения прибыли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 планируется выстраивать отношения с потребителями и поставщиками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способы привлечения финансовых и иных ресурсов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какие каналы продвижения и сбыта продукта планируется использовать и развивать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Основные партнеры: инженеры - разработчики конструкц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ии, поставщики комплектующих для конструкции, производитель магнитной жидкости. университет - создается теоретическая основа, на базе проводятся испытания. Основные направления деятельности: договариваться с партнерами - находить покупателей - консультиров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ать покупателей - контролировать установку конструкции - развивать технологию производства магнитной жидкости. Основные ресурсы: мат ресурсы: технология пров-ва магнитной жидкости, технология производства конструкции Людские: время инженеров и ученых на ра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зработку и производство Финансы: на оплату поставщиков и зарплату. Ценностное предложение: МЫ, кафедра помогаем крупным нефтеперевозчикам и нефтедобытчикам в ситуации разлива нефтепрродуктов любого масштаба решать проблему сбора этих нефтепродуктов с водно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й поверхности с помощью </w:t>
            </w:r>
            <w:r w:rsidRPr="00E47B4C">
              <w:rPr>
                <w:rFonts w:ascii="Times New Roman" w:hAnsi="Times New Roman"/>
                <w:sz w:val="20"/>
                <w:szCs w:val="20"/>
              </w:rPr>
              <w:lastRenderedPageBreak/>
              <w:t>конструкции на основе магнитной жидкости и работать в соответствии с предписаниями Роспотребнадзора, избегать штрафов и негативных последствий нефтеразлива для экологии и бренда компании. Отношения с клиентами: личный, индивидуальны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й подход. Кроме продажи - постоянный контакт на предмет продажи магнитной жидкости, применения новых технологий конструкции. Нужен консультант на связи, первоначальное обучение. Каналы продвижения: личные звонки, конференции тематические, экологические спе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циализированные общества, рефераты, статьи в специализированных источниках информации. Сегменты клиентов: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Customer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Goverment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например МЧС,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- первый сегмент, в нем нефтеперевозчики, нефтепрод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укты. Структура расходов: зарплата, оплата поставщиков и подрядчиков Организация своего производства. Потоки выручки: оплата за конструкцию + за установку + за жидкость в дальнейшем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конкуренты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Кратко указываются основные конкуренты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 xml:space="preserve">Основные конкуренты данного проекта - это текущие методы и конструкции которые позволяют очищать воду от нефтепродуктов.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Например метод отстаивания.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Ценностное предложение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E7334D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Формулируется объяснение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почему клиенты должны вести дела с вами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 не с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вашими конкурентами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с самого начала делает очевидными преимущества ваших продуктов или услуг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Быстрая очистка водоема от нефтепродуктов и очистка мелкого слоя пленки нефтепродуктов ( меньше 10 мм)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реализуемости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устойчивости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бизнеса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конкурентные преимущества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включая наличие уникальных РИД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действующих индустриальных партнеров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доступ к ограниченным ресурсам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.);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дешевизна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уникальность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Приведите аргументы в пользу реализуемости бизнес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идеи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чем ее полезность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востребованность продукта по сравнению с другими продуктами на рынке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чем обосновывается потенциальная прибыльность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насколько будет бизнес устойчивым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На уровне развития стартапа на данный момент доказана что этот способ сбора нп с водной поверхн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ости по соотношению стоимости и качества более эффективным по сравнению с другими способами. В плане развития проекта стоит расчет прибыльности бизнеса для того чтобы доказать его устойчивость 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E7334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технические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включая обоснование соответствия идеи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задела тематическому направлению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)*</w:t>
            </w:r>
          </w:p>
          <w:p w:rsidR="00905EB8" w:rsidRDefault="00905EB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widowControl w:val="0"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Техно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логический комплекс по сбору нефти с поверхности воды должен иметь устройство с запасом магнитной жидкости (МЖ) , которое разбрызгивает капли МЖ на нефтепродукт. Омагниченный НП собирается МС и откачивается насосом в бак для сбора нефти. Все установки комл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екса питаются от источника электрической энергии , который находится вместе со своей аппаратурой на плавучей платформе. Перекачка НП осуществляется по нефтепроводам , а электроснабжение установок по силовым электрическим цепям.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производственные и финансовые параметры бизнеса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Приводится видение основателя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стартапа в части выстраивания внутренних процессов организации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включая партнерские возможности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Распределение функционала команды, либо отношения с партнерами. В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внутри организации будет руководитель, экономист и ученый . На аутсорсе будет производство конструкции и а также монтаж и эксплуатационное сопровождение. Производство будет осуществлено сторонней организации по технологиям, переданными нами. На данный мом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ент известна стоимость производства магнитной жидкости 1000 рублей за 10 мг Себестоимость конструкции: минимальный объем жидкости 100 л: 10 млн руб на наполнению жидкостью Металлические комплектующие для конструкции: минимум 2000 кг железа = 100 000 сырье 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+ изготовление 900 000 = 1 млн на конструцию Цена нашей покупки у поставщика: 11 млн руб, транспортировка + монтаж: 1 млн. Расходы в год: 3 сотрудника: 2.5 млн в год - ФОТ, офис в аренду: 0.5 млн в год. Продажа клиенту под ключ: 18 млн + годовое обслуживан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ие 2 млн в год + магнитная жидкость для пополнения запасов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конкурентные преимущества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которые обеспечивают конкурентные преимущества в сравнении с существующими аналогами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сравнение по стоимостным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техническим параметрам и проч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Данная конструкция собирает тонкую пленку с поверхности воды менее 10 миллиметров. Конструкция очищает лучше деш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евых способов очистки и дешевле дорогих способов очистки.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техническое решение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 результаты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необходимые для создания продукции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Описываются технические параметры научно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технических решений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указанных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подтверждающие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обосновывающие достижение характеристик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обеспечивающих их конкурентоспособность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TRL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1. Идея, описание технологии: принципы, потребности, требования, свойства, поведен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«Задел»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Уровень готовности продукта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TRL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указать максимально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емко и кратко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насколько проработан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проект по итогам прохождения акселерационной программы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кадровые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материальные и др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.),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позволяющие максимально эффективно развивать стартап дальше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 xml:space="preserve">Данный проект готов виде идеи, в который входит 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описание технологии , потребности.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Соответствие проекта научным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техническим приоритетам образовательной организации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 заявителя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Соответствует Программе развития ФГБОУ ВО «Ивановский государственный энергетический универ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ситет имени В.И. Ленина» (ИГЭУ) на 2023 - 2032 годы в части Ключевой инициативы Н-2: трансфер передовых научных знаний и опытно-конструкторских разработок в образовательный процесс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Каналы продвижения будущего продукта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указать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какую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маркетинговую стратегию планируется применять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привести кратко аргументы в пользу выбора тех или иных каналов продвижения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 xml:space="preserve">личные звонки, конференции тематические, экологические специализированные общества, рефераты, статьи в специализированных источниках 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Каналы сбыта будущего продукта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ind w:firstLine="36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личные встречи, конференции - выставки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  <w:jc w:val="center"/>
            </w:pPr>
            <w:r>
              <w:rPr>
                <w:rFonts w:ascii="Times New Roman" w:hAnsi="Times New Roman"/>
                <w:color w:val="000000"/>
                <w:u w:val="none" w:color="000000"/>
              </w:rPr>
              <w:t>Характеристика проблемы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 xml:space="preserve">на решение которой направлен 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стартап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-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проект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проблемы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описать проблему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указанную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Данный проект направлен на решение проблемы загрязнения водной поверхности в случи непредвиденный чрезвычайных ситуаций, в которых разливается нефтепродукты в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водоем. Это может произойти из-за прорыва нефтетрубы, при перевозки в цистернах, при добычи нефти и т.д.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Какая часть проблемы решается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может быть решена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раскрыть вопрос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поставленный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описав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какая часть проблемы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или вся проблема решается с помощью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Полностью или частично стартап решит проблему пользователя, при разных выбросов объема нефтепродуктов в водоем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«Держатель» проблемы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его мотивации и возможности решения проблемы с использованием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9, 10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24)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 xml:space="preserve">Клиент хочет как можно быстрее решить проблему с нефтепродуктами, которые попадают в водоем. Мы решаем данную проблему, 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конструкция достаточно быстро очищает водоем от нефтепродуктов.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 позволит потребителю избежать получение штрафов.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Каким способом будет решена проблема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описать детально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как именно ваши товары и услуги помогут потребителям справляться с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проблемой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Проблема будет решена с помощью конструкции на основе магнитной жидкости, которая позволяет быстро и эффективно собрать нефтепродукт с поверхности воды, даже если толщина разлива не превышает 10 мм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потенциала «рынка» и рентабельности 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изнеса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905EB8" w:rsidRDefault="00905EB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EB8" w:rsidRDefault="00E7334D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потенциальные возможности для масштабирования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 также детально раскрыть информацию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указанную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E47B4C">
              <w:rPr>
                <w:rFonts w:ascii="Times New Roman" w:hAnsi="Times New Roman"/>
                <w:sz w:val="20"/>
                <w:szCs w:val="20"/>
              </w:rPr>
              <w:t>При себестоимости конструкции с жидкостью в 11 млн руб, и стоимостью п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роекта под ключ в 18 млн руб и 2 млн годовое обслуживание срок окупаемости проекта составит 4,5 года Оценка рынка: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PAM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TAM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=2 000 млн руб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= 1 000 млн руб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SOM</w:t>
            </w:r>
            <w:r w:rsidRPr="00E47B4C">
              <w:rPr>
                <w:rFonts w:ascii="Times New Roman" w:hAnsi="Times New Roman"/>
                <w:sz w:val="20"/>
                <w:szCs w:val="20"/>
              </w:rPr>
              <w:t xml:space="preserve"> = 100 млн руб</w:t>
            </w:r>
          </w:p>
        </w:tc>
      </w:tr>
    </w:tbl>
    <w:p w:rsidR="00905EB8" w:rsidRDefault="00905EB8">
      <w:pPr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905EB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5EB8" w:rsidRDefault="00E7334D">
      <w:pPr>
        <w:pStyle w:val="a6"/>
        <w:rPr>
          <w:rFonts w:ascii="Times New Roman" w:eastAsia="Times New Roman" w:hAnsi="Times New Roman" w:cs="Times New Roman"/>
        </w:rPr>
      </w:pPr>
      <w:bookmarkStart w:id="0" w:name="_Hlk137147919"/>
      <w:r>
        <w:rPr>
          <w:rFonts w:ascii="Times New Roman" w:hAnsi="Times New Roman"/>
        </w:rPr>
        <w:lastRenderedPageBreak/>
        <w:t>план дальнейшего развития стартап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проекта</w:t>
      </w:r>
    </w:p>
    <w:p w:rsidR="00905EB8" w:rsidRDefault="00905EB8">
      <w:pPr>
        <w:keepNext/>
        <w:keepLines/>
        <w:spacing w:after="0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05EB8" w:rsidRPr="00E47B4C" w:rsidRDefault="00E73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7B4C">
        <w:rPr>
          <w:rFonts w:ascii="Times New Roman" w:hAnsi="Times New Roman"/>
          <w:b/>
          <w:bCs/>
          <w:sz w:val="20"/>
          <w:szCs w:val="20"/>
        </w:rPr>
        <w:t xml:space="preserve">В 2023 0 рублей Проработка </w:t>
      </w:r>
      <w:r w:rsidRPr="00E47B4C">
        <w:rPr>
          <w:rFonts w:ascii="Times New Roman" w:hAnsi="Times New Roman"/>
          <w:b/>
          <w:bCs/>
          <w:sz w:val="20"/>
          <w:szCs w:val="20"/>
        </w:rPr>
        <w:t>концепции продукта В 2024 минус 13.5 млн. руб. Создание прототипа, пилотный проект, производство 1 конструкции В 2025 минус 11.5 млн руб. Сертификация продукта. Вывод продукта на рынок 1 продажа В 2026 минус Продажи 2 конструкций и пр-во 3штук. Контракт на</w:t>
      </w:r>
      <w:r w:rsidRPr="00E47B4C">
        <w:rPr>
          <w:rFonts w:ascii="Times New Roman" w:hAnsi="Times New Roman"/>
          <w:b/>
          <w:bCs/>
          <w:sz w:val="20"/>
          <w:szCs w:val="20"/>
        </w:rPr>
        <w:t xml:space="preserve"> 4 конструкции в 2027 В 2027 Продажа 4 конструкций, контракт на 5 в 2028 , срок окупаемости 4.5 года</w:t>
      </w:r>
    </w:p>
    <w:p w:rsidR="00905EB8" w:rsidRDefault="00905EB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bookmarkEnd w:id="0"/>
    <w:p w:rsidR="00905EB8" w:rsidRDefault="00905EB8">
      <w:pPr>
        <w:rPr>
          <w:rFonts w:ascii="Times New Roman" w:eastAsia="Times New Roman" w:hAnsi="Times New Roman" w:cs="Times New Roman"/>
        </w:rPr>
      </w:pPr>
    </w:p>
    <w:p w:rsidR="00905EB8" w:rsidRDefault="00905EB8">
      <w:pPr>
        <w:rPr>
          <w:rFonts w:ascii="Times New Roman" w:eastAsia="Times New Roman" w:hAnsi="Times New Roman" w:cs="Times New Roman"/>
        </w:rPr>
      </w:pPr>
    </w:p>
    <w:p w:rsidR="00905EB8" w:rsidRDefault="00905EB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5EB8" w:rsidRDefault="00E7334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ДОПОЛНИТЕЛЬНО ДЛЯ ПОДАЧИ ЗАЯВКИ </w:t>
      </w:r>
    </w:p>
    <w:p w:rsidR="00905EB8" w:rsidRDefault="00E7334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КОНКУРС СТУДЕНЧЕСКИЙ СТАРТАП ОТ ФСИ</w:t>
      </w:r>
      <w:r>
        <w:rPr>
          <w:rFonts w:ascii="Times New Roman" w:hAnsi="Times New Roman"/>
          <w:sz w:val="32"/>
          <w:szCs w:val="32"/>
        </w:rPr>
        <w:t>:</w:t>
      </w:r>
    </w:p>
    <w:p w:rsidR="00905EB8" w:rsidRDefault="00E7334D"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подробнее о подаче заявки на конкурс ФСИ </w:t>
      </w:r>
      <w:r>
        <w:rPr>
          <w:rFonts w:ascii="Times New Roman" w:hAnsi="Times New Roman"/>
        </w:rPr>
        <w:t xml:space="preserve">- </w:t>
      </w:r>
      <w:hyperlink r:id="rId6" w:history="1">
        <w:r>
          <w:rPr>
            <w:rStyle w:val="Hyperlink0"/>
            <w:rFonts w:eastAsia="Arial Unicode MS"/>
          </w:rPr>
          <w:t>https://fasie.ru/programs/programma-studstartup/#documentu</w:t>
        </w:r>
      </w:hyperlink>
      <w:r>
        <w:rPr>
          <w:rStyle w:val="aa"/>
          <w:rFonts w:ascii="Times New Roman" w:hAnsi="Times New Roman"/>
        </w:rPr>
        <w:t xml:space="preserve"> )</w:t>
      </w:r>
    </w:p>
    <w:tbl>
      <w:tblPr>
        <w:tblStyle w:val="TableNormal"/>
        <w:tblW w:w="990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61"/>
        <w:gridCol w:w="5744"/>
      </w:tblGrid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 xml:space="preserve">Фокусная тематика из перечня ФСИ </w:t>
            </w:r>
            <w:r>
              <w:rPr>
                <w:rStyle w:val="aa"/>
                <w:rFonts w:ascii="Times New Roman" w:hAnsi="Times New Roman"/>
              </w:rPr>
              <w:t>(</w:t>
            </w:r>
            <w:hyperlink r:id="rId7" w:history="1">
              <w:r>
                <w:rPr>
                  <w:rStyle w:val="Hyperlink1"/>
                  <w:rFonts w:eastAsia="Arial Unicode MS"/>
                </w:rPr>
                <w:t>https://fasie.ru/programs/programma-start/fokusnye-tematiki.php</w:t>
              </w:r>
            </w:hyperlink>
            <w:r>
              <w:rPr>
                <w:rStyle w:val="aa"/>
                <w:rFonts w:ascii="Times New Roman" w:hAnsi="Times New Roman"/>
              </w:rPr>
              <w:t xml:space="preserve"> 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  <w:jc w:val="center"/>
            </w:pP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t xml:space="preserve">ХАРАКТЕРИСТИКА БУДУЩЕГО ПРЕДПРИЯТИЯ </w:t>
            </w: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(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РЕЗУЛЬТАТ СТАРТАП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-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ПРОЕКТА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)</w:t>
            </w:r>
            <w:r>
              <w:rPr>
                <w:rStyle w:val="aa"/>
                <w:rFonts w:ascii="Times New Roman" w:eastAsia="Times New Roman" w:hAnsi="Times New Roman" w:cs="Times New Roman"/>
                <w:color w:val="000000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 xml:space="preserve">Плановые оптимальные параметры 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(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на 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):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Коллектив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характеристика будущего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информация о составе коллектива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информация по количеству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перечню должностей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квалификации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который Вы представляете на 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Вероятно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этот состав шире 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или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будет отличаться от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состава команды по проекту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но нам важно увидеть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Вы представляете себе штат созданного</w:t>
            </w:r>
          </w:p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в будущем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при переходе на самоокупаемость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Техническое оснащение</w:t>
            </w:r>
          </w:p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ии предприятия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наличие технических и материальных ресурсов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 момент выхода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Партнеры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поставщики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продавцы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информация о Вашем представлении о партнерах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поставщиках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продавцах на</w:t>
            </w:r>
          </w:p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момент выхода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 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lastRenderedPageBreak/>
              <w:t xml:space="preserve">Объем реализации продукции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натуральных единицах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предполагаемый Вами объем реализации продукции на момент выхода</w:t>
            </w:r>
          </w:p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 может быть</w:t>
            </w:r>
          </w:p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Доходы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рублях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предполагаемый Вами объем всех доходов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вне зависимости от их источника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например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выручка с продаж и 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предприятия на момент выхода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9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Ваше представление о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это будет достигнуто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рублях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предполагаемый Вами объем всех расходов предприятия на момент выхода</w:t>
            </w:r>
          </w:p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это будет</w:t>
            </w:r>
          </w:p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Планируемый период выхода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предприятия на самоокупаемость</w:t>
            </w:r>
          </w:p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3"/>
              <w:tabs>
                <w:tab w:val="left" w:pos="2127"/>
              </w:tabs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СУЩЕСТВУЮЩИЙ ЗАДЕЛ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,</w:t>
            </w:r>
          </w:p>
          <w:p w:rsidR="00905EB8" w:rsidRDefault="00E7334D">
            <w:pPr>
              <w:pStyle w:val="3"/>
              <w:tabs>
                <w:tab w:val="left" w:pos="2127"/>
              </w:tabs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КОТОРЫЙ МОЖЕТ БЫТЬ ОСНОВОЙ БУДУЩЕГО ПРЕДПРИЯТИЯ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: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Коллектив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Техническое оснащение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Партнеры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поставщики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продавцы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  <w:jc w:val="center"/>
              <w:rPr>
                <w:rStyle w:val="aa"/>
                <w:rFonts w:ascii="Times New Roman" w:eastAsia="Times New Roman" w:hAnsi="Times New Roman" w:cs="Times New Roman"/>
                <w:color w:val="000000"/>
                <w:u w:val="none" w:color="000000"/>
              </w:rPr>
            </w:pP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t>ПЛАН РЕАЛИЗАЦИИ ПРОЕКТА</w:t>
            </w:r>
          </w:p>
          <w:p w:rsidR="00905EB8" w:rsidRDefault="00E7334D">
            <w:pPr>
              <w:keepLine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на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период грантовой поддержки и максимально прогнозируемый срок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Style w:val="aa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но не менее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2-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х лет после завершения договора гранта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Формирование коллектива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Функционирование юридического лица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lastRenderedPageBreak/>
              <w:t xml:space="preserve">Выполнение работ по разработке продукции с использованием результатов </w:t>
            </w:r>
            <w:r>
              <w:rPr>
                <w:rStyle w:val="aa"/>
                <w:rFonts w:ascii="Times New Roman" w:hAnsi="Times New Roman"/>
              </w:rPr>
              <w:t>научно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технических и технологических исследований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собственных и</w:t>
            </w:r>
            <w:r>
              <w:rPr>
                <w:rStyle w:val="aa"/>
                <w:rFonts w:ascii="Times New Roman" w:hAnsi="Times New Roman"/>
              </w:rPr>
              <w:t>/</w:t>
            </w:r>
            <w:r>
              <w:rPr>
                <w:rStyle w:val="aa"/>
                <w:rFonts w:ascii="Times New Roman" w:hAnsi="Times New Roman"/>
              </w:rPr>
              <w:t>или легитимно полученных или приобретенных</w:t>
            </w:r>
            <w:r>
              <w:rPr>
                <w:rStyle w:val="aa"/>
                <w:rFonts w:ascii="Times New Roman" w:hAnsi="Times New Roman"/>
              </w:rPr>
              <w:t xml:space="preserve">), </w:t>
            </w:r>
            <w:r>
              <w:rPr>
                <w:rStyle w:val="aa"/>
                <w:rFonts w:ascii="Times New Roman" w:hAnsi="Times New Roman"/>
              </w:rPr>
              <w:t xml:space="preserve">включая информацию о создании </w:t>
            </w:r>
            <w:r>
              <w:rPr>
                <w:rStyle w:val="aa"/>
                <w:rFonts w:ascii="Times New Roman" w:hAnsi="Times New Roman"/>
              </w:rPr>
              <w:t xml:space="preserve">MVP </w:t>
            </w:r>
            <w:r>
              <w:rPr>
                <w:rStyle w:val="aa"/>
                <w:rFonts w:ascii="Times New Roman" w:hAnsi="Times New Roman"/>
              </w:rPr>
              <w:t xml:space="preserve">и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или</w:t>
            </w:r>
            <w:r>
              <w:rPr>
                <w:rStyle w:val="aa"/>
                <w:rFonts w:ascii="Times New Roman" w:hAnsi="Times New Roman"/>
              </w:rPr>
              <w:t xml:space="preserve">) </w:t>
            </w:r>
            <w:r>
              <w:rPr>
                <w:rStyle w:val="aa"/>
                <w:rFonts w:ascii="Times New Roman" w:hAnsi="Times New Roman"/>
              </w:rPr>
              <w:t xml:space="preserve">доведению продукции до уровня </w:t>
            </w:r>
            <w:r>
              <w:rPr>
                <w:rStyle w:val="aa"/>
                <w:rFonts w:ascii="Times New Roman" w:hAnsi="Times New Roman"/>
              </w:rPr>
              <w:t xml:space="preserve">TRL 31 </w:t>
            </w:r>
            <w:r>
              <w:rPr>
                <w:rStyle w:val="aa"/>
                <w:rFonts w:ascii="Times New Roman" w:hAnsi="Times New Roman"/>
              </w:rPr>
              <w:t xml:space="preserve">и обоснование возможности разработки </w:t>
            </w:r>
            <w:r>
              <w:rPr>
                <w:rStyle w:val="aa"/>
                <w:rFonts w:ascii="Times New Roman" w:hAnsi="Times New Roman"/>
              </w:rPr>
              <w:t xml:space="preserve">MVP / </w:t>
            </w:r>
            <w:r>
              <w:rPr>
                <w:rStyle w:val="aa"/>
                <w:rFonts w:ascii="Times New Roman" w:hAnsi="Times New Roman"/>
              </w:rPr>
              <w:t xml:space="preserve">достижения уровня </w:t>
            </w:r>
            <w:r>
              <w:rPr>
                <w:rStyle w:val="aa"/>
                <w:rFonts w:ascii="Times New Roman" w:hAnsi="Times New Roman"/>
              </w:rPr>
              <w:t xml:space="preserve">TRL 3 </w:t>
            </w:r>
            <w:r>
              <w:rPr>
                <w:rStyle w:val="aa"/>
                <w:rFonts w:ascii="Times New Roman" w:hAnsi="Times New Roman"/>
              </w:rPr>
              <w:t>в рамках реализации договора гранта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Выполнение работ по уточнению параметров продукции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 xml:space="preserve">«формирование» рынка быта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взаимодействие с потенциальным покупателем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проверка гипотез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анализ информационных источников и т</w:t>
            </w:r>
            <w:r>
              <w:rPr>
                <w:rStyle w:val="aa"/>
                <w:rFonts w:ascii="Times New Roman" w:hAnsi="Times New Roman"/>
              </w:rPr>
              <w:t>.</w:t>
            </w:r>
            <w:r>
              <w:rPr>
                <w:rStyle w:val="aa"/>
                <w:rFonts w:ascii="Times New Roman" w:hAnsi="Times New Roman"/>
              </w:rPr>
              <w:t>п</w:t>
            </w:r>
            <w:r>
              <w:rPr>
                <w:rStyle w:val="aa"/>
                <w:rFonts w:ascii="Times New Roman" w:hAnsi="Times New Roman"/>
              </w:rPr>
              <w:t>.):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 xml:space="preserve">Организация производства </w:t>
            </w:r>
            <w:r>
              <w:rPr>
                <w:rStyle w:val="aa"/>
                <w:rFonts w:ascii="Times New Roman" w:hAnsi="Times New Roman"/>
              </w:rPr>
              <w:t>продукции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Реализация продукции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  <w:jc w:val="center"/>
            </w:pPr>
            <w:r>
              <w:rPr>
                <w:rStyle w:val="aa"/>
                <w:rFonts w:ascii="Times New Roman" w:hAnsi="Times New Roman"/>
                <w:color w:val="000000"/>
                <w:sz w:val="32"/>
                <w:szCs w:val="32"/>
                <w:u w:val="none" w:color="000000"/>
              </w:rPr>
              <w:t>ФИНАНСОВЫЙ ПЛАН РЕАЛИЗАЦИИ ПРОЕКТА</w:t>
            </w:r>
            <w:r>
              <w:rPr>
                <w:rStyle w:val="aa"/>
                <w:rFonts w:ascii="Times New Roman" w:hAnsi="Times New Roman"/>
                <w:color w:val="000000"/>
                <w:sz w:val="32"/>
                <w:szCs w:val="32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ПЛАНИРОВАНИЕ ДОХОДОВ И РАСХОДОВ НА РЕАЛИЗАЦИЮ ПРОЕКТА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Доходы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Расходы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Источники привлечения ресурсов для развития стартап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проекта после завершения договора гранта и обоснование их выбора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грантовая поддержка Фонда содействия инновациям или других институтов развития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привлечение кредитных средств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венчурных инвестиций и др</w:t>
            </w:r>
            <w:r>
              <w:rPr>
                <w:rStyle w:val="aa"/>
                <w:rFonts w:ascii="Times New Roman" w:hAnsi="Times New Roman"/>
              </w:rPr>
              <w:t>.):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6"/>
            </w:pPr>
            <w:r>
              <w:rPr>
                <w:rStyle w:val="aa"/>
                <w:rFonts w:ascii="Times New Roman" w:hAnsi="Times New Roman"/>
              </w:rPr>
              <w:t>Перечень планируемых работ с детализацией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Этап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1 (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длительность –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2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месяца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)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bidiVisual/>
              <w:tblW w:w="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00"/>
              <w:gridCol w:w="3000"/>
              <w:gridCol w:w="2000"/>
              <w:gridCol w:w="2000"/>
            </w:tblGrid>
            <w:tr w:rsidR="00905EB8">
              <w:tc>
                <w:tcPr>
                  <w:tcW w:w="2000" w:type="dxa"/>
                </w:tcPr>
                <w:p w:rsidR="00905EB8" w:rsidRDefault="00E7334D">
                  <w:r>
                    <w:t>Наименование работы</w:t>
                  </w:r>
                </w:p>
              </w:tc>
              <w:tc>
                <w:tcPr>
                  <w:tcW w:w="3000" w:type="dxa"/>
                </w:tcPr>
                <w:p w:rsidR="00905EB8" w:rsidRDefault="00E7334D">
                  <w:r>
                    <w:t>Описание работы</w:t>
                  </w:r>
                </w:p>
              </w:tc>
              <w:tc>
                <w:tcPr>
                  <w:tcW w:w="2000" w:type="dxa"/>
                </w:tcPr>
                <w:p w:rsidR="00905EB8" w:rsidRDefault="00E7334D">
                  <w:r>
                    <w:t>Стоимость</w:t>
                  </w:r>
                </w:p>
              </w:tc>
              <w:tc>
                <w:tcPr>
                  <w:tcW w:w="2000" w:type="dxa"/>
                </w:tcPr>
                <w:p w:rsidR="00905EB8" w:rsidRDefault="00E7334D">
                  <w:r>
                    <w:t>Результат</w:t>
                  </w:r>
                </w:p>
              </w:tc>
            </w:tr>
            <w:tr w:rsidR="00905EB8">
              <w:tc>
                <w:tcPr>
                  <w:tcW w:w="2000" w:type="dxa"/>
                </w:tcPr>
                <w:p w:rsidR="00905EB8" w:rsidRDefault="00905EB8"/>
              </w:tc>
              <w:tc>
                <w:tcPr>
                  <w:tcW w:w="3000" w:type="dxa"/>
                </w:tcPr>
                <w:p w:rsidR="00905EB8" w:rsidRDefault="00905EB8"/>
              </w:tc>
              <w:tc>
                <w:tcPr>
                  <w:tcW w:w="2000" w:type="dxa"/>
                </w:tcPr>
                <w:p w:rsidR="00905EB8" w:rsidRDefault="00905EB8"/>
              </w:tc>
              <w:tc>
                <w:tcPr>
                  <w:tcW w:w="2000" w:type="dxa"/>
                </w:tcPr>
                <w:p w:rsidR="00905EB8" w:rsidRDefault="00905EB8"/>
              </w:tc>
            </w:tr>
          </w:tbl>
          <w:p w:rsidR="00905EB8" w:rsidRDefault="00905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lastRenderedPageBreak/>
              <w:t xml:space="preserve">Этап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2 (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длительность –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10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месяцев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)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bidiVisual/>
              <w:tblW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000"/>
              <w:gridCol w:w="3000"/>
              <w:gridCol w:w="2000"/>
              <w:gridCol w:w="2000"/>
            </w:tblGrid>
            <w:tr w:rsidR="00905E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</w:tcPr>
                <w:p w:rsidR="00905EB8" w:rsidRDefault="00E7334D">
                  <w:r>
                    <w:t>Наименование работы</w:t>
                  </w:r>
                </w:p>
              </w:tc>
              <w:tc>
                <w:tcPr>
                  <w:tcW w:w="3000" w:type="dxa"/>
                </w:tcPr>
                <w:p w:rsidR="00905EB8" w:rsidRDefault="00E7334D">
                  <w:r>
                    <w:t>Описание работы</w:t>
                  </w:r>
                </w:p>
              </w:tc>
              <w:tc>
                <w:tcPr>
                  <w:tcW w:w="2000" w:type="dxa"/>
                </w:tcPr>
                <w:p w:rsidR="00905EB8" w:rsidRDefault="00E7334D">
                  <w:r>
                    <w:t>Стоимость</w:t>
                  </w:r>
                </w:p>
              </w:tc>
              <w:tc>
                <w:tcPr>
                  <w:tcW w:w="2000" w:type="dxa"/>
                </w:tcPr>
                <w:p w:rsidR="00905EB8" w:rsidRDefault="00E7334D">
                  <w:r>
                    <w:t>Результат</w:t>
                  </w:r>
                </w:p>
              </w:tc>
            </w:tr>
            <w:tr w:rsidR="00905EB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</w:tcPr>
                <w:p w:rsidR="00905EB8" w:rsidRDefault="00905EB8"/>
              </w:tc>
              <w:tc>
                <w:tcPr>
                  <w:tcW w:w="3000" w:type="dxa"/>
                </w:tcPr>
                <w:p w:rsidR="00905EB8" w:rsidRDefault="00905EB8"/>
              </w:tc>
              <w:tc>
                <w:tcPr>
                  <w:tcW w:w="2000" w:type="dxa"/>
                </w:tcPr>
                <w:p w:rsidR="00905EB8" w:rsidRDefault="00905EB8"/>
              </w:tc>
              <w:tc>
                <w:tcPr>
                  <w:tcW w:w="2000" w:type="dxa"/>
                </w:tcPr>
                <w:p w:rsidR="00905EB8" w:rsidRDefault="00905EB8"/>
              </w:tc>
            </w:tr>
          </w:tbl>
          <w:p w:rsidR="00905EB8" w:rsidRDefault="00E7334D">
            <w:pPr>
              <w:spacing w:after="0" w:line="240" w:lineRule="auto"/>
            </w:pP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6"/>
            </w:pPr>
            <w:r>
              <w:rPr>
                <w:rStyle w:val="aa"/>
                <w:rFonts w:ascii="Times New Roman" w:hAnsi="Times New Roman"/>
              </w:rPr>
              <w:t xml:space="preserve">Поддержка других институтов </w:t>
            </w:r>
            <w:r>
              <w:rPr>
                <w:rStyle w:val="aa"/>
                <w:rFonts w:ascii="Times New Roman" w:hAnsi="Times New Roman"/>
              </w:rPr>
              <w:br/>
              <w:t>инновационного развития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Опыт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взаимодействия с другими институтами развития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</w:pP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Платформа НТИ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Участвовал ли кто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>либо из членов проектной команды в «Акселерационно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>образовательных интенсивах по формированию и преакселерации команд»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Участвовал ли кто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либо из членов проектной команды в программах «Диагностика и формирование компетентностного профиля человека </w:t>
            </w:r>
            <w:r>
              <w:rPr>
                <w:rStyle w:val="aa"/>
                <w:rFonts w:ascii="Times New Roman" w:hAnsi="Times New Roman"/>
              </w:rPr>
              <w:t xml:space="preserve">/ </w:t>
            </w:r>
            <w:r>
              <w:rPr>
                <w:rStyle w:val="aa"/>
                <w:rFonts w:ascii="Times New Roman" w:hAnsi="Times New Roman"/>
              </w:rPr>
              <w:t>команды»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Перечень членов проектной команды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 xml:space="preserve">участвовавших в программах </w:t>
            </w:r>
            <w:r>
              <w:rPr>
                <w:rStyle w:val="aa"/>
                <w:rFonts w:ascii="Times New Roman" w:hAnsi="Times New Roman"/>
              </w:rPr>
              <w:t xml:space="preserve">Leader ID </w:t>
            </w:r>
            <w:r>
              <w:rPr>
                <w:rStyle w:val="aa"/>
                <w:rFonts w:ascii="Times New Roman" w:hAnsi="Times New Roman"/>
              </w:rPr>
              <w:t>и АНО «Платформа НТИ»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caps/>
                <w:sz w:val="32"/>
                <w:szCs w:val="32"/>
              </w:rPr>
              <w:t>ДОПОЛНИТЕЛЬНО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</w:pPr>
            <w:r>
              <w:rPr>
                <w:rStyle w:val="aa"/>
                <w:rFonts w:ascii="Times New Roman" w:hAnsi="Times New Roman"/>
                <w:b/>
                <w:bCs/>
              </w:rPr>
              <w:t xml:space="preserve">Участие в программе </w:t>
            </w:r>
            <w:r>
              <w:rPr>
                <w:rStyle w:val="aa"/>
                <w:rFonts w:ascii="Times New Roman" w:hAnsi="Times New Roman"/>
                <w:b/>
                <w:bCs/>
              </w:rPr>
              <w:t>«Стартап как диплом»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r>
              <w:rPr>
                <w:rStyle w:val="aa"/>
                <w:rFonts w:ascii="Times New Roman" w:hAnsi="Times New Roman"/>
                <w:b/>
                <w:bCs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</w:t>
            </w:r>
            <w:r>
              <w:rPr>
                <w:rStyle w:val="aa"/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pStyle w:val="a9"/>
            </w:pP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lastRenderedPageBreak/>
              <w:t>Для исполнителей по программе УМНИК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</w:pPr>
            <w:r>
              <w:rPr>
                <w:rStyle w:val="aa"/>
                <w:rFonts w:ascii="Times New Roman" w:hAnsi="Times New Roman"/>
              </w:rPr>
              <w:t xml:space="preserve">Номер контракта и тема проекта по </w:t>
            </w:r>
            <w:r>
              <w:rPr>
                <w:rStyle w:val="aa"/>
                <w:rFonts w:ascii="Times New Roman" w:hAnsi="Times New Roman"/>
              </w:rPr>
              <w:t>программе «УМНИК»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Lines/>
            </w:pPr>
            <w:r>
              <w:rPr>
                <w:rStyle w:val="aa"/>
                <w:rFonts w:ascii="Times New Roman" w:hAnsi="Times New Roman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E7334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</w:tbl>
    <w:p w:rsidR="00905EB8" w:rsidRDefault="00905EB8">
      <w:pPr>
        <w:widowControl w:val="0"/>
        <w:spacing w:line="240" w:lineRule="auto"/>
        <w:ind w:left="432" w:hanging="432"/>
      </w:pPr>
    </w:p>
    <w:p w:rsidR="00905EB8" w:rsidRDefault="00905EB8">
      <w:pPr>
        <w:widowControl w:val="0"/>
        <w:spacing w:line="240" w:lineRule="auto"/>
        <w:ind w:left="324" w:hanging="324"/>
      </w:pPr>
    </w:p>
    <w:p w:rsidR="00905EB8" w:rsidRDefault="00905EB8">
      <w:pPr>
        <w:widowControl w:val="0"/>
        <w:spacing w:line="240" w:lineRule="auto"/>
        <w:ind w:left="216" w:hanging="216"/>
      </w:pPr>
    </w:p>
    <w:p w:rsidR="00905EB8" w:rsidRDefault="00905EB8">
      <w:pPr>
        <w:widowControl w:val="0"/>
        <w:spacing w:line="240" w:lineRule="auto"/>
        <w:ind w:left="108" w:hanging="108"/>
      </w:pPr>
    </w:p>
    <w:p w:rsidR="00905EB8" w:rsidRDefault="00905EB8">
      <w:pPr>
        <w:widowControl w:val="0"/>
        <w:spacing w:line="240" w:lineRule="auto"/>
      </w:pPr>
    </w:p>
    <w:p w:rsidR="00905EB8" w:rsidRDefault="00E7334D">
      <w:pPr>
        <w:pStyle w:val="a6"/>
        <w:rPr>
          <w:rStyle w:val="aa"/>
          <w:rFonts w:ascii="Times New Roman" w:eastAsia="Times New Roman" w:hAnsi="Times New Roman" w:cs="Times New Roman"/>
        </w:rPr>
      </w:pPr>
      <w:r>
        <w:rPr>
          <w:rStyle w:val="aa"/>
          <w:rFonts w:ascii="Times New Roman" w:hAnsi="Times New Roman"/>
        </w:rPr>
        <w:t xml:space="preserve">Календарный план </w:t>
      </w:r>
    </w:p>
    <w:p w:rsidR="00905EB8" w:rsidRDefault="00E7334D">
      <w:pPr>
        <w:keepNext/>
        <w:keepLines/>
        <w:spacing w:after="0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a"/>
          <w:rFonts w:ascii="Times New Roman" w:hAnsi="Times New Roman"/>
          <w:b/>
          <w:bCs/>
          <w:i/>
          <w:iCs/>
        </w:rPr>
        <w:t xml:space="preserve">   Календарный план проекта</w:t>
      </w:r>
      <w:r>
        <w:rPr>
          <w:rStyle w:val="aa"/>
          <w:rFonts w:ascii="Times New Roman" w:hAnsi="Times New Roman"/>
          <w:b/>
          <w:bCs/>
          <w:i/>
          <w:iCs/>
        </w:rPr>
        <w:t>:</w:t>
      </w:r>
    </w:p>
    <w:p w:rsidR="00905EB8" w:rsidRDefault="00905EB8">
      <w:pPr>
        <w:keepNext/>
        <w:keepLines/>
        <w:spacing w:after="0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Style w:val="TableNormal"/>
        <w:tblW w:w="9587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83"/>
        <w:gridCol w:w="4841"/>
        <w:gridCol w:w="1963"/>
        <w:gridCol w:w="2100"/>
      </w:tblGrid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E7334D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№ этапа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E7334D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E7334D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Длительность этапа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E7334D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Стоимость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E7334D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>
            <w:pPr>
              <w:spacing w:after="0" w:line="240" w:lineRule="auto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>
            <w:pPr>
              <w:spacing w:after="0" w:line="240" w:lineRule="auto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E7334D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>
            <w:pPr>
              <w:spacing w:after="0" w:line="240" w:lineRule="auto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>
            <w:pPr>
              <w:spacing w:after="0" w:line="240" w:lineRule="auto"/>
            </w:pPr>
          </w:p>
        </w:tc>
      </w:tr>
      <w:tr w:rsidR="00905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EB8" w:rsidRDefault="00905EB8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EB8" w:rsidRDefault="00905EB8"/>
        </w:tc>
      </w:tr>
    </w:tbl>
    <w:p w:rsidR="00905EB8" w:rsidRDefault="00905EB8">
      <w:pPr>
        <w:keepNext/>
        <w:keepLines/>
        <w:widowControl w:val="0"/>
        <w:spacing w:after="0" w:line="240" w:lineRule="auto"/>
        <w:ind w:left="432" w:hanging="432"/>
        <w:jc w:val="center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p w:rsidR="00905EB8" w:rsidRDefault="00905EB8">
      <w:pPr>
        <w:keepNext/>
        <w:keepLines/>
        <w:widowControl w:val="0"/>
        <w:spacing w:after="0" w:line="240" w:lineRule="auto"/>
        <w:ind w:left="324" w:hanging="324"/>
        <w:jc w:val="center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p w:rsidR="00905EB8" w:rsidRDefault="00905EB8">
      <w:pPr>
        <w:keepNext/>
        <w:keepLines/>
        <w:widowControl w:val="0"/>
        <w:spacing w:after="0" w:line="240" w:lineRule="auto"/>
        <w:ind w:left="216" w:hanging="216"/>
        <w:jc w:val="center"/>
      </w:pPr>
    </w:p>
    <w:sectPr w:rsidR="00905EB8" w:rsidSect="00905EB8">
      <w:headerReference w:type="default" r:id="rId8"/>
      <w:footerReference w:type="default" r:id="rId9"/>
      <w:pgSz w:w="11900" w:h="16840"/>
      <w:pgMar w:top="426" w:right="851" w:bottom="56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4D" w:rsidRDefault="00E7334D" w:rsidP="00905EB8">
      <w:pPr>
        <w:spacing w:after="0" w:line="240" w:lineRule="auto"/>
      </w:pPr>
      <w:r>
        <w:separator/>
      </w:r>
    </w:p>
  </w:endnote>
  <w:endnote w:type="continuationSeparator" w:id="1">
    <w:p w:rsidR="00E7334D" w:rsidRDefault="00E7334D" w:rsidP="0090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B8" w:rsidRDefault="00905EB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4D" w:rsidRDefault="00E7334D" w:rsidP="00905EB8">
      <w:pPr>
        <w:spacing w:after="0" w:line="240" w:lineRule="auto"/>
      </w:pPr>
      <w:r>
        <w:separator/>
      </w:r>
    </w:p>
  </w:footnote>
  <w:footnote w:type="continuationSeparator" w:id="1">
    <w:p w:rsidR="00E7334D" w:rsidRDefault="00E7334D" w:rsidP="0090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B8" w:rsidRDefault="00905EB8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EB8"/>
    <w:rsid w:val="00905EB8"/>
    <w:rsid w:val="00E47B4C"/>
    <w:rsid w:val="00E7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EB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3">
    <w:name w:val="heading 3"/>
    <w:next w:val="a"/>
    <w:rsid w:val="00905EB8"/>
    <w:pPr>
      <w:keepNext/>
      <w:keepLines/>
      <w:suppressAutoHyphens/>
      <w:spacing w:before="40" w:line="276" w:lineRule="auto"/>
      <w:outlineLvl w:val="2"/>
    </w:pPr>
    <w:rPr>
      <w:rFonts w:ascii="Calibri Light" w:hAnsi="Calibri Light" w:cs="Arial Unicode MS"/>
      <w:color w:val="1F4D78"/>
      <w:sz w:val="24"/>
      <w:szCs w:val="24"/>
      <w:u w:color="1F4D78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EB8"/>
    <w:rPr>
      <w:u w:val="single"/>
    </w:rPr>
  </w:style>
  <w:style w:type="table" w:customStyle="1" w:styleId="TableNormal">
    <w:name w:val="Table Normal"/>
    <w:rsid w:val="00905E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05EB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nsPlusNormal">
    <w:name w:val="ConsPlusNormal"/>
    <w:rsid w:val="00905EB8"/>
    <w:pPr>
      <w:widowControl w:val="0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A5">
    <w:name w:val="Нет A"/>
    <w:rsid w:val="00905EB8"/>
    <w:rPr>
      <w:lang w:val="ru-RU"/>
    </w:rPr>
  </w:style>
  <w:style w:type="paragraph" w:customStyle="1" w:styleId="a6">
    <w:name w:val="Заголовок заявки"/>
    <w:rsid w:val="00905EB8"/>
    <w:pPr>
      <w:keepNext/>
      <w:suppressAutoHyphens/>
      <w:spacing w:before="240" w:line="276" w:lineRule="auto"/>
      <w:jc w:val="center"/>
    </w:pPr>
    <w:rPr>
      <w:rFonts w:ascii="Cambria" w:hAnsi="Cambria" w:cs="Arial Unicode MS"/>
      <w:b/>
      <w:bCs/>
      <w:caps/>
      <w:color w:val="000000"/>
      <w:sz w:val="32"/>
      <w:szCs w:val="32"/>
      <w:u w:color="000000"/>
      <w:shd w:val="nil"/>
    </w:rPr>
  </w:style>
  <w:style w:type="paragraph" w:styleId="a7">
    <w:name w:val="Body Text"/>
    <w:rsid w:val="00905EB8"/>
    <w:rPr>
      <w:rFonts w:ascii="Helvetica Neue" w:hAnsi="Helvetica Neue" w:cs="Arial Unicode MS"/>
      <w:color w:val="000000"/>
      <w:sz w:val="22"/>
      <w:szCs w:val="22"/>
      <w:u w:color="000000"/>
      <w:shd w:val="nil"/>
      <w:lang w:val="en-US"/>
    </w:rPr>
  </w:style>
  <w:style w:type="paragraph" w:customStyle="1" w:styleId="TableText">
    <w:name w:val="Table Text"/>
    <w:rsid w:val="00905EB8"/>
    <w:pPr>
      <w:tabs>
        <w:tab w:val="left" w:pos="432"/>
      </w:tabs>
      <w:suppressAutoHyphens/>
      <w:spacing w:after="240"/>
    </w:pPr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styleId="a8">
    <w:name w:val="List Paragraph"/>
    <w:rsid w:val="00905EB8"/>
    <w:pPr>
      <w:widowControl w:val="0"/>
      <w:spacing w:before="278"/>
      <w:ind w:left="138" w:firstLine="518"/>
      <w:jc w:val="both"/>
    </w:pPr>
    <w:rPr>
      <w:rFonts w:cs="Arial Unicode MS"/>
      <w:color w:val="000000"/>
      <w:sz w:val="22"/>
      <w:szCs w:val="22"/>
      <w:u w:color="000000"/>
      <w:shd w:val="nil"/>
      <w:lang w:val="en-US"/>
    </w:rPr>
  </w:style>
  <w:style w:type="paragraph" w:customStyle="1" w:styleId="a9">
    <w:name w:val="Подзаголовок заявки"/>
    <w:rsid w:val="00905EB8"/>
    <w:pPr>
      <w:keepNext/>
      <w:suppressAutoHyphens/>
      <w:spacing w:before="120" w:after="120" w:line="276" w:lineRule="auto"/>
    </w:pPr>
    <w:rPr>
      <w:rFonts w:ascii="Calibri" w:hAnsi="Calibri" w:cs="Arial Unicode MS"/>
      <w:b/>
      <w:bCs/>
      <w:color w:val="1F497D"/>
      <w:sz w:val="28"/>
      <w:szCs w:val="28"/>
      <w:u w:val="single" w:color="1F497D"/>
      <w:shd w:val="nil"/>
    </w:rPr>
  </w:style>
  <w:style w:type="character" w:customStyle="1" w:styleId="aa">
    <w:name w:val="Нет"/>
    <w:rsid w:val="00905EB8"/>
  </w:style>
  <w:style w:type="character" w:customStyle="1" w:styleId="Hyperlink0">
    <w:name w:val="Hyperlink.0"/>
    <w:basedOn w:val="aa"/>
    <w:rsid w:val="00905EB8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aa"/>
    <w:rsid w:val="00905EB8"/>
    <w:rPr>
      <w:rFonts w:ascii="Times New Roman" w:eastAsia="Times New Roman" w:hAnsi="Times New Roman" w:cs="Times New Roman"/>
      <w:outline w:val="0"/>
      <w:color w:val="0563C1"/>
      <w:u w:val="single" w:color="0563C1"/>
      <w:shd w:val="ni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asie.ru/programs/programma-start/fokusnye-tematik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ie.ru/programs/programma-studstartup/%25252523document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2842</Words>
  <Characters>16203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2023-12-29T06:31:00Z</dcterms:created>
  <dcterms:modified xsi:type="dcterms:W3CDTF">2023-12-29T06:31:00Z</dcterms:modified>
</cp:coreProperties>
</file>