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jc w:val="right"/>
        <w:rPr>
          <w:sz w:val="22"/>
          <w:szCs w:val="22"/>
        </w:rPr>
      </w:pPr>
      <w:bookmarkStart w:colFirst="0" w:colLast="0" w:name="_rpc6ey971fdv" w:id="0"/>
      <w:bookmarkEnd w:id="0"/>
      <w:r w:rsidDel="00000000" w:rsidR="00000000" w:rsidRPr="00000000">
        <w:rPr>
          <w:sz w:val="22"/>
          <w:szCs w:val="22"/>
          <w:rtl w:val="0"/>
        </w:rPr>
        <w:t xml:space="preserve">30.06.2025 г. 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b w:val="1"/>
        </w:rPr>
      </w:pPr>
      <w:bookmarkStart w:colFirst="0" w:colLast="0" w:name="_x6ugh1xg147a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Продуктовая стратегия </w:t>
      </w:r>
      <w:r w:rsidDel="00000000" w:rsidR="00000000" w:rsidRPr="00000000">
        <w:rPr>
          <w:b w:val="1"/>
          <w:rtl w:val="0"/>
        </w:rPr>
        <w:t xml:space="preserve">проекта </w:t>
      </w:r>
      <w:r w:rsidDel="00000000" w:rsidR="00000000" w:rsidRPr="00000000">
        <w:rPr>
          <w:b w:val="1"/>
          <w:sz w:val="22"/>
          <w:szCs w:val="22"/>
          <w:rtl w:val="0"/>
        </w:rPr>
        <w:t xml:space="preserve">МОРФ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600" w:before="600" w:lineRule="auto"/>
        <w:jc w:val="center"/>
        <w:rPr>
          <w:rFonts w:ascii="Old Standard TT" w:cs="Old Standard TT" w:eastAsia="Old Standard TT" w:hAnsi="Old Standard TT"/>
          <w:sz w:val="26"/>
          <w:szCs w:val="26"/>
        </w:rPr>
      </w:pPr>
      <w:r w:rsidDel="00000000" w:rsidR="00000000" w:rsidRPr="00000000">
        <w:rPr>
          <w:rFonts w:ascii="Old Standard TT" w:cs="Old Standard TT" w:eastAsia="Old Standard TT" w:hAnsi="Old Standard TT"/>
          <w:sz w:val="26"/>
          <w:szCs w:val="26"/>
        </w:rPr>
        <w:drawing>
          <wp:inline distB="114300" distT="114300" distL="114300" distR="114300">
            <wp:extent cx="5734050" cy="25566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523" l="0" r="0" t="841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56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600" w:before="60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Рис.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MIND MAP ПРОЕКТА МОРФ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b w:val="1"/>
        </w:rPr>
      </w:pPr>
      <w:bookmarkStart w:colFirst="0" w:colLast="0" w:name="_4o9yd5vb5ai3" w:id="2"/>
      <w:bookmarkEnd w:id="2"/>
      <w:r w:rsidDel="00000000" w:rsidR="00000000" w:rsidRPr="00000000">
        <w:rPr>
          <w:b w:val="1"/>
          <w:rtl w:val="0"/>
        </w:rPr>
        <w:t xml:space="preserve">1. ЭКОНОМИЧЕСКОЕ ОБОСНОВАНИЕ (ЭКСПРЕСС-МАРКЕТИНГОВЫЙ АНАЛИЗ) </w:t>
      </w:r>
    </w:p>
    <w:p w:rsidR="00000000" w:rsidDel="00000000" w:rsidP="00000000" w:rsidRDefault="00000000" w:rsidRPr="00000000" w14:paraId="00000006">
      <w:pPr>
        <w:pStyle w:val="Heading2"/>
        <w:rPr>
          <w:b w:val="1"/>
        </w:rPr>
      </w:pPr>
      <w:bookmarkStart w:colFirst="0" w:colLast="0" w:name="_broxrv9hl9wv" w:id="3"/>
      <w:bookmarkEnd w:id="3"/>
      <w:r w:rsidDel="00000000" w:rsidR="00000000" w:rsidRPr="00000000">
        <w:rPr>
          <w:b w:val="1"/>
          <w:rtl w:val="0"/>
        </w:rPr>
        <w:t xml:space="preserve">Потребители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Проект ориентирован на широкий круг пользователей, включая: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  <w:rPr>
          <w:color w:val="0d0d0d"/>
        </w:rPr>
      </w:pPr>
      <w:r w:rsidDel="00000000" w:rsidR="00000000" w:rsidRPr="00000000">
        <w:rPr>
          <w:b w:val="1"/>
          <w:rtl w:val="0"/>
        </w:rPr>
        <w:t xml:space="preserve">Образовательные учреждения</w:t>
      </w:r>
      <w:r w:rsidDel="00000000" w:rsidR="00000000" w:rsidRPr="00000000">
        <w:rPr>
          <w:rtl w:val="0"/>
        </w:rPr>
        <w:t xml:space="preserve">: школы, колледжи, университеты, которые нуждаются в гибких инструментах для проведения опросов среди студентов и преподавателей, проведения исследований.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color w:val="0d0d0d"/>
        </w:rPr>
      </w:pPr>
      <w:r w:rsidDel="00000000" w:rsidR="00000000" w:rsidRPr="00000000">
        <w:rPr>
          <w:b w:val="1"/>
          <w:rtl w:val="0"/>
        </w:rPr>
        <w:t xml:space="preserve">Корпоративный сектор</w:t>
      </w:r>
      <w:r w:rsidDel="00000000" w:rsidR="00000000" w:rsidRPr="00000000">
        <w:rPr>
          <w:rtl w:val="0"/>
        </w:rPr>
        <w:t xml:space="preserve">: компании, которые проводят опросы среди сотрудников для оценки удовлетворенности, определения потребностей в обучении и выявления проблемных областей.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  <w:rPr>
          <w:color w:val="0d0d0d"/>
        </w:rPr>
      </w:pPr>
      <w:r w:rsidDel="00000000" w:rsidR="00000000" w:rsidRPr="00000000">
        <w:rPr>
          <w:b w:val="1"/>
          <w:rtl w:val="0"/>
        </w:rPr>
        <w:t xml:space="preserve">Исследовательские организации</w:t>
      </w:r>
      <w:r w:rsidDel="00000000" w:rsidR="00000000" w:rsidRPr="00000000">
        <w:rPr>
          <w:rtl w:val="0"/>
        </w:rPr>
        <w:t xml:space="preserve">: фирмы, занимающиеся рыночными исследованиями, которые нуждаются в точных и адаптивных инструментах для сбора данных.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color w:val="0d0d0d"/>
        </w:rPr>
      </w:pPr>
      <w:r w:rsidDel="00000000" w:rsidR="00000000" w:rsidRPr="00000000">
        <w:rPr>
          <w:b w:val="1"/>
          <w:rtl w:val="0"/>
        </w:rPr>
        <w:t xml:space="preserve">Малый и средний бизнес</w:t>
      </w:r>
      <w:r w:rsidDel="00000000" w:rsidR="00000000" w:rsidRPr="00000000">
        <w:rPr>
          <w:rtl w:val="0"/>
        </w:rPr>
        <w:t xml:space="preserve">: компании, которые хотят получить обратную связь от клиентов и улучшить качество обслуживания.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b w:val="1"/>
        </w:rPr>
      </w:pPr>
      <w:bookmarkStart w:colFirst="0" w:colLast="0" w:name="_aevetlf9w04c" w:id="4"/>
      <w:bookmarkEnd w:id="4"/>
      <w:r w:rsidDel="00000000" w:rsidR="00000000" w:rsidRPr="00000000">
        <w:rPr>
          <w:b w:val="1"/>
          <w:rtl w:val="0"/>
        </w:rPr>
        <w:t xml:space="preserve">Рынок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Рынок опросов и исследований активно развивается. Уже продолжительный период времени существуют такие крупные игроки, как Google Forms, Yandex Forms, SurveyMonkey, Typeform и другие. Эти компании предлагают решения для создания и проведения опросов, но большинство из них не предоставляет возможностей для динамического изменения опросов в реальном времени и адаптации к каждому пользователю.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Финансовая модель, представленная в бизнес-плане проекта, основана на анализе потенциального рынка и предполагаемой доли проекта на этом рынке. Согласно расчетам, общий потенциальный доход от обучающихся по программам высшего образования (магистратура) оценивается в </w:t>
      </w:r>
      <w:r w:rsidDel="00000000" w:rsidR="00000000" w:rsidRPr="00000000">
        <w:rPr>
          <w:b w:val="1"/>
          <w:rtl w:val="0"/>
        </w:rPr>
        <w:t xml:space="preserve">28 млн рублей</w:t>
      </w:r>
      <w:r w:rsidDel="00000000" w:rsidR="00000000" w:rsidRPr="00000000">
        <w:rPr>
          <w:rtl w:val="0"/>
        </w:rPr>
        <w:t xml:space="preserve">, сегмента ученых (социология) – в </w:t>
      </w:r>
      <w:r w:rsidDel="00000000" w:rsidR="00000000" w:rsidRPr="00000000">
        <w:rPr>
          <w:b w:val="1"/>
          <w:rtl w:val="0"/>
        </w:rPr>
        <w:t xml:space="preserve">11,2 млн рублей</w:t>
      </w:r>
      <w:r w:rsidDel="00000000" w:rsidR="00000000" w:rsidRPr="00000000">
        <w:rPr>
          <w:rtl w:val="0"/>
        </w:rPr>
        <w:t xml:space="preserve">. При охвате 1% от потенциальной аудитории ежемесячный доход составит около </w:t>
      </w:r>
      <w:r w:rsidDel="00000000" w:rsidR="00000000" w:rsidRPr="00000000">
        <w:rPr>
          <w:b w:val="1"/>
          <w:rtl w:val="0"/>
        </w:rPr>
        <w:t xml:space="preserve">392 тыс. рублей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b w:val="1"/>
        </w:rPr>
      </w:pPr>
      <w:bookmarkStart w:colFirst="0" w:colLast="0" w:name="_jy1gdeq0jes2" w:id="5"/>
      <w:bookmarkEnd w:id="5"/>
      <w:r w:rsidDel="00000000" w:rsidR="00000000" w:rsidRPr="00000000">
        <w:rPr>
          <w:b w:val="1"/>
          <w:rtl w:val="0"/>
        </w:rPr>
        <w:t xml:space="preserve">Конкуренты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10860"/>
        <w:tblGridChange w:id="0">
          <w:tblGrid>
            <w:gridCol w:w="3060"/>
            <w:gridCol w:w="10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Конкурент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Описание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Статические опросы (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Google Forms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Yandex Forms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и др.)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Статические опросы представляют собой стандартизированный инструмент с фиксированной структурой, обеспечивающий высокую масштабируемость и простоту анализа данных. Они отличаются низкой стоимостью внедрения и высокой доступностью для всех типов исследователей. Однако эти преимущества нивелируются существенными недостатками: поверхностностью получаемых данных, низкой вовлеченностью респондентов и высоким риском отказов при увеличении длины опроса. Отсутствие персонализации и адаптивности делает статические опросы менее эффективными для глубинного изучения мнений и мотивов.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InsightChat/Yasna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InsightChat/Yasna</w:t>
            </w:r>
            <w:r w:rsidDel="00000000" w:rsidR="00000000" w:rsidRPr="00000000">
              <w:rPr>
                <w:rtl w:val="0"/>
              </w:rPr>
              <w:t xml:space="preserve"> предлагает адаптивное интервьюирование с AI и использованием виртуального аватара, обеспечивая высокую персонализацию и глубину получаемых данных. Однако инструмент страдает от «эффекта зловещей долины» (исходя из опросов его пользователей), что значительно снижает вовлеченность респондентов и валидность результатов. Ограниченная доступность (только для B2B) и отсутствие возможности импорта фотографий дополнительно ограничивают применимость этого решения. Сложность анализа данных и низкий контроль исследователя над процессом – общие проблемы для всех динамических инструментов – так же присутствуют в этом решении.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Qualz.AI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и </w:t>
            </w:r>
            <w:hyperlink r:id="rId1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просто.tech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 проектах </w:t>
            </w:r>
            <w:r w:rsidDel="00000000" w:rsidR="00000000" w:rsidRPr="00000000">
              <w:rPr>
                <w:b w:val="1"/>
                <w:rtl w:val="0"/>
              </w:rPr>
              <w:t xml:space="preserve">Qualz.AI</w:t>
            </w:r>
            <w:r w:rsidDel="00000000" w:rsidR="00000000" w:rsidRPr="00000000">
              <w:rPr>
                <w:rtl w:val="0"/>
              </w:rPr>
              <w:t xml:space="preserve"> и </w:t>
            </w:r>
            <w:r w:rsidDel="00000000" w:rsidR="00000000" w:rsidRPr="00000000">
              <w:rPr>
                <w:b w:val="1"/>
                <w:rtl w:val="0"/>
              </w:rPr>
              <w:t xml:space="preserve">просто.tech</w:t>
            </w:r>
            <w:r w:rsidDel="00000000" w:rsidR="00000000" w:rsidRPr="00000000">
              <w:rPr>
                <w:rtl w:val="0"/>
              </w:rPr>
              <w:t xml:space="preserve"> имеется ограниченная информация, но можно предположить, что они представляют собой вариации адаптивного интервьюирования с AI без использования аватаров. </w:t>
            </w:r>
            <w:r w:rsidDel="00000000" w:rsidR="00000000" w:rsidRPr="00000000">
              <w:rPr>
                <w:b w:val="1"/>
                <w:rtl w:val="0"/>
              </w:rPr>
              <w:t xml:space="preserve">Qualz.AI</w:t>
            </w:r>
            <w:r w:rsidDel="00000000" w:rsidR="00000000" w:rsidRPr="00000000">
              <w:rPr>
                <w:rtl w:val="0"/>
              </w:rPr>
              <w:t xml:space="preserve">, вероятно, обеспечивает высокую персонализацию и глубину данных, сопоставимую с другими динамическими инструментами, в то время как </w:t>
            </w:r>
            <w:r w:rsidDel="00000000" w:rsidR="00000000" w:rsidRPr="00000000">
              <w:rPr>
                <w:b w:val="1"/>
                <w:rtl w:val="0"/>
              </w:rPr>
              <w:t xml:space="preserve">просто.tech</w:t>
            </w:r>
            <w:r w:rsidDel="00000000" w:rsidR="00000000" w:rsidRPr="00000000">
              <w:rPr>
                <w:rtl w:val="0"/>
              </w:rPr>
              <w:t xml:space="preserve">, судя по имеющимся сведениям, предлагает более умеренный уровень адаптации. Оба инструмента, вероятно, сталкиваются с типичными для данной категории проблемами: сложностью анализа данных, ограниченным контролем исследователя и необходимостью валидации методологии. Без дополнительной информации сложно оценить их конкурентные преимущества или уникальные особенности.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b w:val="1"/>
        </w:rPr>
      </w:pPr>
      <w:bookmarkStart w:colFirst="0" w:colLast="0" w:name="_9lmxnz2xjem3" w:id="6"/>
      <w:bookmarkEnd w:id="6"/>
      <w:r w:rsidDel="00000000" w:rsidR="00000000" w:rsidRPr="00000000">
        <w:rPr>
          <w:b w:val="1"/>
          <w:rtl w:val="0"/>
        </w:rPr>
        <w:t xml:space="preserve">Риски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Риск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Действия по минимизации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Технические риски</w:t>
            </w:r>
            <w:r w:rsidDel="00000000" w:rsidR="00000000" w:rsidRPr="00000000">
              <w:rPr>
                <w:rtl w:val="0"/>
              </w:rPr>
              <w:t xml:space="preserve">: технические сбои и неполадки, которые могут привести к сбоям системы.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Регулярное мониторинг и обслуживание системы;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Использование резервных копий и дублирование данных;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Внедрение системы аварийного восстановления;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Регулярное проведение стресс-тестов для выявления слабых мест.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Риски безопасности</w:t>
            </w:r>
            <w:r w:rsidDel="00000000" w:rsidR="00000000" w:rsidRPr="00000000">
              <w:rPr>
                <w:rtl w:val="0"/>
              </w:rPr>
              <w:t xml:space="preserve">: утечка данных и нарушения безопасности, что может привести к потере доверия пользователей и юридическим последствиям; кража идеи проекта.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Внедрение многоуровневой системы безопасности, включая шифрование данных, двухфакторную аутентификацию и регулярные аудиты безопасности;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Обучение сотрудников по вопросам безопасности;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Непрерывное обновление и патчинг программного обеспечения;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Хранение материалов в строгой секретности;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Найм сотрудников и работа с партнерами под NDA.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Финансовые риски</w:t>
            </w:r>
            <w:r w:rsidDel="00000000" w:rsidR="00000000" w:rsidRPr="00000000">
              <w:rPr>
                <w:rtl w:val="0"/>
              </w:rPr>
              <w:t xml:space="preserve">: недостаток финансирования, что может привести к невозможности дальнейшего развития продукта.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Постепенное масштабирование с учетом доступных финансовых ресурсов;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Привлечение дополнительных источников финансирования (гранты, субсидии);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Создание финансового резерва на случай непредвиденных обстоятельств.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Рыночные риски</w:t>
            </w:r>
            <w:r w:rsidDel="00000000" w:rsidR="00000000" w:rsidRPr="00000000">
              <w:rPr>
                <w:rtl w:val="0"/>
              </w:rPr>
              <w:t xml:space="preserve">: высокая конкуренция и недостаток спроса на продукт, что может привести к снижению доходов.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регулярного анализа рынка и мониторинг конкурентов;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Разработка уникальных функций и преимуществ продукта;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Активное продвижение и реклама продукта для привлечения новых пользователей.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Риски управления</w:t>
            </w:r>
            <w:r w:rsidDel="00000000" w:rsidR="00000000" w:rsidRPr="00000000">
              <w:rPr>
                <w:rtl w:val="0"/>
              </w:rPr>
              <w:t xml:space="preserve">: недостаточная квалификация или нехватка персонала, что может привести к задержкам в реализации проекта.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Привлечение опытных специалистов и проведение регулярного обучения сотрудников;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Четкое планирование и распределение задач;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Внедрение системы управления проектами для контроля сроков и качества выполнения задач.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Юридические риски</w:t>
            </w:r>
            <w:r w:rsidDel="00000000" w:rsidR="00000000" w:rsidRPr="00000000">
              <w:rPr>
                <w:rtl w:val="0"/>
              </w:rPr>
              <w:t xml:space="preserve">: изменения в законодательстве, что может привести к дополнительным затратам или необходимости изменения бизнес-модели.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Регулярное отслеживание изменений в законодательстве;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Консультации с юридическими специалистами;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Готовность к быстрой адаптации бизнес-процессов в соответствии с новыми требованиями.</w:t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rPr>
          <w:b w:val="1"/>
        </w:rPr>
      </w:pPr>
      <w:bookmarkStart w:colFirst="0" w:colLast="0" w:name="_aljufhsdimq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b w:val="1"/>
        </w:rPr>
      </w:pPr>
      <w:bookmarkStart w:colFirst="0" w:colLast="0" w:name="_l42tdvhywddz" w:id="8"/>
      <w:bookmarkEnd w:id="8"/>
      <w:r w:rsidDel="00000000" w:rsidR="00000000" w:rsidRPr="00000000">
        <w:rPr>
          <w:b w:val="1"/>
          <w:rtl w:val="0"/>
        </w:rPr>
        <w:t xml:space="preserve">SWOT-анализ проекта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Ind w:w="9.21259842519688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3330"/>
        <w:gridCol w:w="3435"/>
        <w:gridCol w:w="3750"/>
        <w:tblGridChange w:id="0">
          <w:tblGrid>
            <w:gridCol w:w="3420"/>
            <w:gridCol w:w="3330"/>
            <w:gridCol w:w="3435"/>
            <w:gridCol w:w="375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Сильные стороны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Слабые стороны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Возможности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Угрозы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Высокая гибкость и адаптивность системы динамических опросов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Высокие первоначальные затраты на разработку и внедрение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Расширение на международный рынок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Высокая конкуренция на рынке образовательных и исследовательских технологий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Интеграция с современными технологиями и API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Необходимость в постоянном мониторинге и поддержке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Внедрение дополнительных функций и модулей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Риски безопасности и утечки данных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Поддержка и участие ведущих образовательных учреждений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Зависимость от внешних провайдеров и API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Сотрудничество с новыми партнерами и организациями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Изменения в законодательстве и регуляторные требования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Мощная инфраструктура и надежные сервисы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Требования к высокому уровню безопасности и конфиденциальности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Участие в крупных образовательных и исследовательских проектах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Зависимость от стабильности внешних сервисов и API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Обширный функционал для управления опросами и данными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Потенциальная сложность для новых пользователей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Разработка мобильных приложений и интеграция с другими платформами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Потенциальные технологические сбои и неполадки</w:t>
            </w:r>
          </w:p>
        </w:tc>
      </w:tr>
    </w:tbl>
    <w:p w:rsidR="00000000" w:rsidDel="00000000" w:rsidP="00000000" w:rsidRDefault="00000000" w:rsidRPr="00000000" w14:paraId="00000057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360" w:lineRule="auto"/>
        <w:ind w:left="-566.9291338582675" w:firstLine="570"/>
        <w:rPr/>
      </w:pPr>
      <w:bookmarkStart w:colFirst="0" w:colLast="0" w:name="_tqxca2qe2b4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>
          <w:b w:val="1"/>
        </w:rPr>
      </w:pPr>
      <w:bookmarkStart w:colFirst="0" w:colLast="0" w:name="_4rom3anrtngk" w:id="10"/>
      <w:bookmarkEnd w:id="10"/>
      <w:r w:rsidDel="00000000" w:rsidR="00000000" w:rsidRPr="00000000">
        <w:rPr>
          <w:b w:val="1"/>
          <w:rtl w:val="0"/>
        </w:rPr>
        <w:t xml:space="preserve">2. ОПРЕДЕЛЕНИЕ РЫНОЧНЫХ ТРЕБОВАНИЙ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В сфере проведения опросов пользователи сталкиваются со следующими проблемами: 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Проблема длины опросов</w:t>
      </w:r>
      <w:r w:rsidDel="00000000" w:rsidR="00000000" w:rsidRPr="00000000">
        <w:rPr>
          <w:rtl w:val="0"/>
        </w:rPr>
        <w:t xml:space="preserve">: в случае, если опрос содержит слишком много вопросов и вариантов ответа, информацию сложно обработать, внимание респондента рассеивается, и пользователь не получает необходимые данные.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Проблема персонализации опросов</w:t>
      </w:r>
      <w:r w:rsidDel="00000000" w:rsidR="00000000" w:rsidRPr="00000000">
        <w:rPr>
          <w:rtl w:val="0"/>
        </w:rPr>
        <w:t xml:space="preserve">: статические опросы, несмотря на их методологические преимущества, часто не учитывают индивидуальные особенности и контекст респондентов, что может приводить к снижению качества получаемых данных.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Проблема отказа от анкетирования в пользу интервью</w:t>
      </w:r>
      <w:r w:rsidDel="00000000" w:rsidR="00000000" w:rsidRPr="00000000">
        <w:rPr>
          <w:rtl w:val="0"/>
        </w:rPr>
        <w:t xml:space="preserve">: в связи с ограничениями статических опросов многие исследователи отдают предпочтение формату интервью для получения более качественных данных, однако это означает значительное повышение временных и трудозатрат. 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Проблема получения качественных данных</w:t>
      </w:r>
      <w:r w:rsidDel="00000000" w:rsidR="00000000" w:rsidRPr="00000000">
        <w:rPr>
          <w:rtl w:val="0"/>
        </w:rPr>
        <w:t xml:space="preserve">: ключевым вопросом при выборе метода онлайн-интервью является обеспечение качества собираемых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>
          <w:b w:val="1"/>
        </w:rPr>
      </w:pPr>
      <w:bookmarkStart w:colFirst="0" w:colLast="0" w:name="_nmf3nfs00u8d" w:id="11"/>
      <w:bookmarkEnd w:id="11"/>
      <w:r w:rsidDel="00000000" w:rsidR="00000000" w:rsidRPr="00000000">
        <w:rPr>
          <w:b w:val="1"/>
          <w:rtl w:val="0"/>
        </w:rPr>
        <w:t xml:space="preserve">3. ОПИСАНИЕ РЕШЕНИЯ, ОТВЕЧАЮЩЕГО НА КЛИЕНТСКУЮ ПРОБЛЕМУ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Создание механизм генерации динамических форм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-566.9291338582675" w:firstLine="570"/>
        <w:jc w:val="both"/>
        <w:rPr/>
      </w:pPr>
      <w:r w:rsidDel="00000000" w:rsidR="00000000" w:rsidRPr="00000000">
        <w:rPr>
          <w:rtl w:val="0"/>
        </w:rPr>
        <w:t xml:space="preserve">Требовалось разработать алгоритмический подход для: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Формирования начальных вопросов на основе заданной темы опроса;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Анализа ответов пользователя в режиме реального времени;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Генерации последующих вопросов с учетом полученных ответов;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Адаптации сложности и глубины вопросов в зависимости от контекста предоставляемого пользователем и изначально заданных настроек.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Интеграция с языковыми моделями</w:t>
      </w:r>
    </w:p>
    <w:p w:rsidR="00000000" w:rsidDel="00000000" w:rsidP="00000000" w:rsidRDefault="00000000" w:rsidRPr="00000000" w14:paraId="00000067">
      <w:pPr>
        <w:spacing w:line="360" w:lineRule="auto"/>
        <w:ind w:left="-566.9291338582675" w:firstLine="570"/>
        <w:jc w:val="both"/>
        <w:rPr/>
      </w:pPr>
      <w:r w:rsidDel="00000000" w:rsidR="00000000" w:rsidRPr="00000000">
        <w:rPr>
          <w:rtl w:val="0"/>
        </w:rPr>
        <w:t xml:space="preserve">Для обеспечения интеллектуальной составляющей системы было необходимо: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Интегрировать современные языковые модели (LLM);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Разработать эффективные промпты для генерации контекстуально релевантных вопросов;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Обеспечить обработку естественного языка для анализа ответов пользователей;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Оптимизировать взаимодействие с API языковых моделей с учетом ограничений на токены и задержки;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Разработка кроссплатформенного пользовательского интерфейса</w:t>
      </w:r>
    </w:p>
    <w:p w:rsidR="00000000" w:rsidDel="00000000" w:rsidP="00000000" w:rsidRDefault="00000000" w:rsidRPr="00000000" w14:paraId="0000006D">
      <w:pPr>
        <w:spacing w:line="360" w:lineRule="auto"/>
        <w:ind w:left="-566.9291338582675" w:firstLine="570"/>
        <w:jc w:val="both"/>
        <w:rPr/>
      </w:pPr>
      <w:r w:rsidDel="00000000" w:rsidR="00000000" w:rsidRPr="00000000">
        <w:rPr>
          <w:rtl w:val="0"/>
        </w:rPr>
        <w:t xml:space="preserve">Создать удобный и интуитивно понятный интерфейс: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Для web-платформы с адаптивным дизайном;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Для мобильных устройств на базе Android и iOS;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С поддержкой различных типов вопросов и ответов (текст, выбор, шкалы и др.).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Разработка механизма аутентификации и авторизации</w:t>
      </w:r>
    </w:p>
    <w:p w:rsidR="00000000" w:rsidDel="00000000" w:rsidP="00000000" w:rsidRDefault="00000000" w:rsidRPr="00000000" w14:paraId="00000072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Разработать механизм аутентификации и авторизации: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Исследовать стандартизированные протоколы аутентификации SAML &amp; OIDC, ПО, поддерживающее их и предоставляющее возможность подключать базы пользователей-сотрудников корпоративных клиентов;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Разобраться с механизмами авторизации и получении пользовательской информации: OPA, LDAP, SCIM;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Спроектировать механизм аутентификации &amp; авторизации для разных категорий клиентов;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 Реализовать механизм и соединить его с остальной частью системы. 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Создание инфраструктуры для хранения и обработки данных</w:t>
      </w:r>
    </w:p>
    <w:p w:rsidR="00000000" w:rsidDel="00000000" w:rsidP="00000000" w:rsidRDefault="00000000" w:rsidRPr="00000000" w14:paraId="00000078">
      <w:pPr>
        <w:spacing w:line="360" w:lineRule="auto"/>
        <w:ind w:left="-566.9291338582675" w:firstLine="570"/>
        <w:jc w:val="both"/>
        <w:rPr/>
      </w:pPr>
      <w:r w:rsidDel="00000000" w:rsidR="00000000" w:rsidRPr="00000000">
        <w:rPr>
          <w:rtl w:val="0"/>
        </w:rPr>
        <w:t xml:space="preserve">Для эффективной системы управления данными нужно было: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Спроектировать схемы базы данных для хранения форм, сессий и ответов;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Реализовать механизмы кэширования для оптимизации производительности;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Создать API для доступа к данным и их аналитической обработки;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Обеспечить масштабируемость системы хранения. 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Разработать систему аналитики и отчетности</w:t>
      </w:r>
    </w:p>
    <w:p w:rsidR="00000000" w:rsidDel="00000000" w:rsidP="00000000" w:rsidRDefault="00000000" w:rsidRPr="00000000" w14:paraId="0000007E">
      <w:pPr>
        <w:spacing w:line="360" w:lineRule="auto"/>
        <w:ind w:left="-566.9291338582675" w:firstLine="570"/>
        <w:jc w:val="both"/>
        <w:rPr/>
      </w:pPr>
      <w:r w:rsidDel="00000000" w:rsidR="00000000" w:rsidRPr="00000000">
        <w:rPr>
          <w:rtl w:val="0"/>
        </w:rPr>
        <w:t xml:space="preserve">Создание инструментов для анализа собранных данных: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Агрегация и статистическая обработка ответов;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Визуализация результатов в различных форматах (графики, таблицы);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Экспорт данных в стандартные форматы для дальнейшей обработки;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Генерация автоматических отчетов по заданным критериям.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/>
      </w:pPr>
      <w:bookmarkStart w:colFirst="0" w:colLast="0" w:name="_u9tu6uqvzdzw" w:id="12"/>
      <w:bookmarkEnd w:id="12"/>
      <w:r w:rsidDel="00000000" w:rsidR="00000000" w:rsidRPr="00000000">
        <w:rPr>
          <w:b w:val="1"/>
          <w:rtl w:val="0"/>
        </w:rPr>
        <w:t xml:space="preserve">4. ДОРОЖНАЯ КАРТА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2970"/>
        <w:gridCol w:w="3375"/>
        <w:gridCol w:w="3465"/>
        <w:gridCol w:w="3240"/>
        <w:tblGridChange w:id="0">
          <w:tblGrid>
            <w:gridCol w:w="1485"/>
            <w:gridCol w:w="2970"/>
            <w:gridCol w:w="3375"/>
            <w:gridCol w:w="3465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Уровень готовности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Q2`25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001d35"/>
                <w:sz w:val="24"/>
                <w:szCs w:val="24"/>
                <w:highlight w:val="white"/>
                <w:rtl w:val="0"/>
              </w:rPr>
              <w:t xml:space="preserve">апрель, май, июнь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Q3`25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001d35"/>
                <w:sz w:val="24"/>
                <w:szCs w:val="24"/>
                <w:highlight w:val="white"/>
                <w:rtl w:val="0"/>
              </w:rPr>
              <w:t xml:space="preserve">июль, август, сентябрь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Q4`25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001d35"/>
                <w:sz w:val="24"/>
                <w:szCs w:val="24"/>
                <w:highlight w:val="white"/>
                <w:rtl w:val="0"/>
              </w:rPr>
              <w:t xml:space="preserve">октябрь, ноябрь, декабрь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Q1`26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(январь, февраль март)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TRL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TRL 5</w:t>
            </w:r>
            <w:r w:rsidDel="00000000" w:rsidR="00000000" w:rsidRPr="00000000">
              <w:rPr>
                <w:rtl w:val="0"/>
              </w:rPr>
              <w:t xml:space="preserve">: тестирование  MVP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TRL 6</w:t>
            </w:r>
            <w:r w:rsidDel="00000000" w:rsidR="00000000" w:rsidRPr="00000000">
              <w:rPr>
                <w:rtl w:val="0"/>
              </w:rPr>
              <w:t xml:space="preserve">: дальнейшее развитие продукта, поиск организаций-партнеров и проведение более длительного тестирования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TRL 7</w:t>
            </w:r>
            <w:r w:rsidDel="00000000" w:rsidR="00000000" w:rsidRPr="00000000">
              <w:rPr>
                <w:rtl w:val="0"/>
              </w:rPr>
              <w:t xml:space="preserve">: самостоятельное использование организациями-партнерами продукта в реальных задачах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TRL 8</w:t>
            </w:r>
            <w:r w:rsidDel="00000000" w:rsidR="00000000" w:rsidRPr="00000000">
              <w:rPr>
                <w:rtl w:val="0"/>
              </w:rPr>
              <w:t xml:space="preserve">: релиз коммерческой версии продукта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MRL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MRL 4</w:t>
            </w:r>
            <w:r w:rsidDel="00000000" w:rsidR="00000000" w:rsidRPr="00000000">
              <w:rPr>
                <w:rtl w:val="0"/>
              </w:rPr>
              <w:t xml:space="preserve">: получение и анализ  обратной связи от 2 образовательных организаций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MRL 4</w:t>
            </w:r>
            <w:r w:rsidDel="00000000" w:rsidR="00000000" w:rsidRPr="00000000">
              <w:rPr>
                <w:rtl w:val="0"/>
              </w:rPr>
              <w:t xml:space="preserve">: получение и анализ обратной связи после проведения тестирования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MRL 5</w:t>
            </w:r>
            <w:r w:rsidDel="00000000" w:rsidR="00000000" w:rsidRPr="00000000">
              <w:rPr>
                <w:rtl w:val="0"/>
              </w:rPr>
              <w:t xml:space="preserve">: появление первых платных пользователей продукта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MRL 6</w:t>
            </w:r>
            <w:r w:rsidDel="00000000" w:rsidR="00000000" w:rsidRPr="00000000">
              <w:rPr>
                <w:rtl w:val="0"/>
              </w:rPr>
              <w:t xml:space="preserve">: заключение соглашений о коммерческом сотрудничестве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CRL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CRL 2</w:t>
            </w:r>
            <w:r w:rsidDel="00000000" w:rsidR="00000000" w:rsidRPr="00000000">
              <w:rPr>
                <w:rtl w:val="0"/>
              </w:rPr>
              <w:t xml:space="preserve">: распределение ролей в команде, понимание необходимости повышение компетентности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CRL 3</w:t>
            </w:r>
            <w:r w:rsidDel="00000000" w:rsidR="00000000" w:rsidRPr="00000000">
              <w:rPr>
                <w:rtl w:val="0"/>
              </w:rPr>
              <w:t xml:space="preserve">: участие в акселераторах, работа с трекером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CRL 4</w:t>
            </w:r>
            <w:r w:rsidDel="00000000" w:rsidR="00000000" w:rsidRPr="00000000">
              <w:rPr>
                <w:rtl w:val="0"/>
              </w:rPr>
              <w:t xml:space="preserve">: поиск и найм сотрудников с необходимыми компетенциями 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CRL 4</w:t>
            </w:r>
            <w:r w:rsidDel="00000000" w:rsidR="00000000" w:rsidRPr="00000000">
              <w:rPr>
                <w:rtl w:val="0"/>
              </w:rPr>
              <w:t xml:space="preserve">: дальнейший поиск и найм сотрудников с необходимыми компетенциями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IRL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IRL 2</w:t>
            </w:r>
            <w:r w:rsidDel="00000000" w:rsidR="00000000" w:rsidRPr="00000000">
              <w:rPr>
                <w:rtl w:val="0"/>
              </w:rPr>
              <w:t xml:space="preserve">: финансирование проекта из собственных средств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IRL 3</w:t>
            </w:r>
            <w:r w:rsidDel="00000000" w:rsidR="00000000" w:rsidRPr="00000000">
              <w:rPr>
                <w:rtl w:val="0"/>
              </w:rPr>
              <w:t xml:space="preserve">: поиск первых инвесторов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IRL 4</w:t>
            </w:r>
            <w:r w:rsidDel="00000000" w:rsidR="00000000" w:rsidRPr="00000000">
              <w:rPr>
                <w:rtl w:val="0"/>
              </w:rPr>
              <w:t xml:space="preserve">: формирование прогноза на основе текущих продаж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IRL 5</w:t>
            </w:r>
            <w:r w:rsidDel="00000000" w:rsidR="00000000" w:rsidRPr="00000000">
              <w:rPr>
                <w:rtl w:val="0"/>
              </w:rPr>
              <w:t xml:space="preserve">: получение обратной связи от потребителей, подготовка к привлечению первых инвестиций 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ld Standard T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/>
  </w:style>
  <w:style w:type="paragraph" w:styleId="Heading2">
    <w:name w:val="heading 2"/>
    <w:basedOn w:val="Normal"/>
    <w:next w:val="Normal"/>
    <w:pPr>
      <w:keepNext w:val="1"/>
      <w:keepLines w:val="1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rosto.tech/" TargetMode="External"/><Relationship Id="rId10" Type="http://schemas.openxmlformats.org/officeDocument/2006/relationships/hyperlink" Target="http://qualz.ai" TargetMode="External"/><Relationship Id="rId9" Type="http://schemas.openxmlformats.org/officeDocument/2006/relationships/hyperlink" Target="https://app.yasna.ai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orkspace.google.com/products/forms/" TargetMode="External"/><Relationship Id="rId8" Type="http://schemas.openxmlformats.org/officeDocument/2006/relationships/hyperlink" Target="https://forms.yandex.ru/adm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dStandardTT-regular.ttf"/><Relationship Id="rId2" Type="http://schemas.openxmlformats.org/officeDocument/2006/relationships/font" Target="fonts/OldStandardTT-bold.ttf"/><Relationship Id="rId3" Type="http://schemas.openxmlformats.org/officeDocument/2006/relationships/font" Target="fonts/OldStandardT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