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06.07.2025</w:t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1"/>
        </w:rPr>
      </w:pPr>
      <w:bookmarkStart w:colFirst="0" w:colLast="0" w:name="_yxfb9rbwyzis" w:id="0"/>
      <w:bookmarkEnd w:id="0"/>
      <w:r w:rsidDel="00000000" w:rsidR="00000000" w:rsidRPr="00000000">
        <w:rPr>
          <w:b w:val="1"/>
          <w:rtl w:val="0"/>
        </w:rPr>
        <w:t xml:space="preserve">Расчет рынка для проекта МОРФ </w:t>
      </w:r>
    </w:p>
    <w:p w:rsidR="00000000" w:rsidDel="00000000" w:rsidP="00000000" w:rsidRDefault="00000000" w:rsidRPr="00000000" w14:paraId="00000003">
      <w:pPr>
        <w:pStyle w:val="Heading2"/>
        <w:rPr>
          <w:b w:val="1"/>
        </w:rPr>
      </w:pPr>
      <w:bookmarkStart w:colFirst="0" w:colLast="0" w:name="_hwy3p534eal2" w:id="1"/>
      <w:bookmarkEnd w:id="1"/>
      <w:r w:rsidDel="00000000" w:rsidR="00000000" w:rsidRPr="00000000">
        <w:rPr>
          <w:b w:val="1"/>
          <w:rtl w:val="0"/>
        </w:rPr>
        <w:t xml:space="preserve">Оценка рынка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3262313</wp:posOffset>
            </wp:positionH>
            <wp:positionV relativeFrom="paragraph">
              <wp:posOffset>134626</wp:posOffset>
            </wp:positionV>
            <wp:extent cx="2824163" cy="249672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4163" cy="24967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3"/>
        <w:rPr>
          <w:b w:val="1"/>
        </w:rPr>
      </w:pPr>
      <w:bookmarkStart w:colFirst="0" w:colLast="0" w:name="_pkjq34y2c7mx" w:id="2"/>
      <w:bookmarkEnd w:id="2"/>
      <w:r w:rsidDel="00000000" w:rsidR="00000000" w:rsidRPr="00000000">
        <w:rPr>
          <w:b w:val="1"/>
          <w:rtl w:val="0"/>
        </w:rPr>
        <w:t xml:space="preserve">1. Метод «PAM/TAM/SAM/SOM»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Сегмент для расчета: </w:t>
      </w:r>
      <w:r w:rsidDel="00000000" w:rsidR="00000000" w:rsidRPr="00000000">
        <w:rPr>
          <w:rtl w:val="0"/>
        </w:rPr>
        <w:t xml:space="preserve">образовательные организации начального, основного и среднего общего образования, так как к этому сегменту есть реальная возможность выхода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Цена в месяц: </w:t>
      </w:r>
      <w:r w:rsidDel="00000000" w:rsidR="00000000" w:rsidRPr="00000000">
        <w:rPr>
          <w:rtl w:val="0"/>
        </w:rPr>
        <w:t xml:space="preserve">2 000 руб/мес. (при проведени 20 опросов (средняя величина класса в школе)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в месяц стоимостью примерно 100 рублей за один опрос)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PAM </w:t>
      </w:r>
      <w:r w:rsidDel="00000000" w:rsidR="00000000" w:rsidRPr="00000000">
        <w:rPr>
          <w:rtl w:val="0"/>
        </w:rPr>
        <w:t xml:space="preserve">(Potential Available Market) – потенциально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доступный рынок с учетом того, как он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изменится за интересующее вас время.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Число государственных и частных организаций, осуществляющих образовательную деятельность по образовательным программам начального, основного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и среднего общего образования (на 2023 год) – 38 890 организаций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последние годы наблюдается рост частных школ, которые более ориентированы на персонализированное обучение, а значит, могут заинтересоваться инструментом.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2022/2023 год – 891 частная образовательная организация, 2023/2024 – 915 организаций, увеличение на 24 организации или на ~3%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. Можно предположить, что в ближайшие 3 года число частных школы вырастет на 9% (82 организации).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PAM = (38 890 + 82) х 2 000 = </w:t>
      </w:r>
      <w:r w:rsidDel="00000000" w:rsidR="00000000" w:rsidRPr="00000000">
        <w:rPr>
          <w:b w:val="1"/>
          <w:rtl w:val="0"/>
        </w:rPr>
        <w:t xml:space="preserve">77 944 000 руб/мес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Вывод:</w:t>
      </w:r>
      <w:r w:rsidDel="00000000" w:rsidR="00000000" w:rsidRPr="00000000">
        <w:rPr>
          <w:rtl w:val="0"/>
        </w:rPr>
        <w:t xml:space="preserve"> вряд ли рассматриваемый рынок будет расти большими темпами.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ТАМ</w:t>
      </w:r>
      <w:r w:rsidDel="00000000" w:rsidR="00000000" w:rsidRPr="00000000">
        <w:rPr>
          <w:rtl w:val="0"/>
        </w:rPr>
        <w:t xml:space="preserve"> (Total Addressable Market) – весь рынок, на котором можно продать продукта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(реальные и потенциальные клиенты).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TAM – государственные и частные организации, осуществляющие образовательную деятельность по образовательным программам начального, основного и среднего общего образования (2023) – 38 890 организаций.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PAM = 38 890 х 2 000 =</w:t>
      </w:r>
      <w:r w:rsidDel="00000000" w:rsidR="00000000" w:rsidRPr="00000000">
        <w:rPr>
          <w:b w:val="1"/>
          <w:rtl w:val="0"/>
        </w:rPr>
        <w:t xml:space="preserve"> 77 780 000 руб/мес.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SAM</w:t>
      </w:r>
      <w:r w:rsidDel="00000000" w:rsidR="00000000" w:rsidRPr="00000000">
        <w:rPr>
          <w:rtl w:val="0"/>
        </w:rPr>
        <w:t xml:space="preserve"> (Served Available Market) – доступный рынок похожих и конкурирующих решений (они могли бы потреблять ваш продукт «как есть»).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Предполагаемая доля заинтересованных в инструменте образовательных организаций – 15%.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SAM = 38 890 х 15% х 2 000 = </w:t>
      </w:r>
      <w:r w:rsidDel="00000000" w:rsidR="00000000" w:rsidRPr="00000000">
        <w:rPr>
          <w:b w:val="1"/>
          <w:rtl w:val="0"/>
        </w:rPr>
        <w:t xml:space="preserve">11 667 000 руб/мес.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SOM </w:t>
      </w:r>
      <w:r w:rsidDel="00000000" w:rsidR="00000000" w:rsidRPr="00000000">
        <w:rPr>
          <w:rtl w:val="0"/>
        </w:rPr>
        <w:t xml:space="preserve">(Serviceable &amp; Obtainable Market) – достижимый объем рынка, который вы можете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получить с помощью доступных инструментов/каналов.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Предполагаемая доля рынка в первый год – 1%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SOM = 11 667 000</w:t>
      </w:r>
      <w:r w:rsidDel="00000000" w:rsidR="00000000" w:rsidRPr="00000000">
        <w:rPr>
          <w:rtl w:val="0"/>
        </w:rPr>
        <w:t xml:space="preserve">  х 1% = </w:t>
      </w:r>
      <w:r w:rsidDel="00000000" w:rsidR="00000000" w:rsidRPr="00000000">
        <w:rPr>
          <w:b w:val="1"/>
          <w:rtl w:val="0"/>
        </w:rPr>
        <w:t xml:space="preserve">116 670 руб/мес.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>
          <w:b w:val="1"/>
        </w:rPr>
      </w:pPr>
      <w:bookmarkStart w:colFirst="0" w:colLast="0" w:name="_1h11boaku14i" w:id="3"/>
      <w:bookmarkEnd w:id="3"/>
      <w:r w:rsidDel="00000000" w:rsidR="00000000" w:rsidRPr="00000000">
        <w:rPr>
          <w:b w:val="1"/>
          <w:rtl w:val="0"/>
        </w:rPr>
        <w:t xml:space="preserve">2. Метод «Снизу-вверх»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Размер целевой аудитории</w:t>
      </w:r>
      <w:r w:rsidDel="00000000" w:rsidR="00000000" w:rsidRPr="00000000">
        <w:rPr>
          <w:rtl w:val="0"/>
        </w:rPr>
        <w:t xml:space="preserve"> – 5 834 образовательных организаций (15% от всех образовательных организаций)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Норма потребления </w:t>
      </w:r>
      <w:r w:rsidDel="00000000" w:rsidR="00000000" w:rsidRPr="00000000">
        <w:rPr>
          <w:rtl w:val="0"/>
        </w:rPr>
        <w:t xml:space="preserve">– 20 опросов в месяц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Средний чек</w:t>
      </w:r>
      <w:r w:rsidDel="00000000" w:rsidR="00000000" w:rsidRPr="00000000">
        <w:rPr>
          <w:rtl w:val="0"/>
        </w:rPr>
        <w:t xml:space="preserve"> – 100 руб.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5 834 х 20 х 100 = </w:t>
      </w:r>
      <w:r w:rsidDel="00000000" w:rsidR="00000000" w:rsidRPr="00000000">
        <w:rPr>
          <w:b w:val="1"/>
          <w:rtl w:val="0"/>
        </w:rPr>
        <w:t xml:space="preserve">11 668 000 руб/мес.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>
          <w:b w:val="1"/>
        </w:rPr>
      </w:pPr>
      <w:bookmarkStart w:colFirst="0" w:colLast="0" w:name="_i44arsuil45y" w:id="4"/>
      <w:bookmarkEnd w:id="4"/>
      <w:r w:rsidDel="00000000" w:rsidR="00000000" w:rsidRPr="00000000">
        <w:rPr>
          <w:b w:val="1"/>
          <w:rtl w:val="0"/>
        </w:rPr>
        <w:t xml:space="preserve">Выводы по оценке рынка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Рассматриваемый рынок достаточно сложен для стартапа на начальной стадии развития: сотрудничество с государственными организациями имеет свою специфику, процент частных организаций в нише невысок.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Модель оплаты за количество опросов для образовательной организации получается слишком дорогим: следует рассмотреть возможность выбора модели подписки. Это позволит снизить стоимость и привлечь больше клиентов.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дальнейшем необходимо провести расчет рынка для других ниш и определить конкретно, к какой нишей работаем сейчас.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b w:val="1"/>
        </w:rPr>
      </w:pPr>
      <w:bookmarkStart w:colFirst="0" w:colLast="0" w:name="_ozofevtsxqp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b w:val="1"/>
        </w:rPr>
      </w:pPr>
      <w:bookmarkStart w:colFirst="0" w:colLast="0" w:name="_5z7sfx2qpa9d" w:id="6"/>
      <w:bookmarkEnd w:id="6"/>
      <w:r w:rsidDel="00000000" w:rsidR="00000000" w:rsidRPr="00000000">
        <w:rPr>
          <w:b w:val="1"/>
          <w:rtl w:val="0"/>
        </w:rPr>
        <w:t xml:space="preserve">Анализ устойчивости проекта по модели S.P.A.C.E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244961" cy="287378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15797"/>
                    <a:stretch>
                      <a:fillRect/>
                    </a:stretch>
                  </pic:blipFill>
                  <pic:spPr>
                    <a:xfrm>
                      <a:off x="0" y="0"/>
                      <a:ext cx="6244961" cy="2873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Цена (доступно): </w:t>
      </w:r>
      <w:r w:rsidDel="00000000" w:rsidR="00000000" w:rsidRPr="00000000">
        <w:rPr>
          <w:rtl w:val="0"/>
        </w:rPr>
        <w:t xml:space="preserve">цена за использование инструмента средняя;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Клиенты (много):</w:t>
      </w:r>
      <w:r w:rsidDel="00000000" w:rsidR="00000000" w:rsidRPr="00000000">
        <w:rPr>
          <w:rtl w:val="0"/>
        </w:rPr>
        <w:t xml:space="preserve"> клиентов достаточно много, особенно если работать с разными нишами. Однако нельзя сказать, что рынок – массовый.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Принятие решения (совет друзей):</w:t>
      </w:r>
      <w:r w:rsidDel="00000000" w:rsidR="00000000" w:rsidRPr="00000000">
        <w:rPr>
          <w:rtl w:val="0"/>
        </w:rPr>
        <w:t xml:space="preserve"> решение об использовании продукта может требовать обсуждения, но может быть принято без согласования всеми вышестоящими лицами.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Сложность продукта (обывательский):</w:t>
      </w:r>
      <w:r w:rsidDel="00000000" w:rsidR="00000000" w:rsidRPr="00000000">
        <w:rPr>
          <w:rtl w:val="0"/>
        </w:rPr>
        <w:t xml:space="preserve"> инструмент интуитивно понятен, но обучение может сделать работу с ним более эффективной.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Поставщик («терапевт»): </w:t>
      </w:r>
      <w:r w:rsidDel="00000000" w:rsidR="00000000" w:rsidRPr="00000000">
        <w:rPr>
          <w:rtl w:val="0"/>
        </w:rPr>
        <w:t xml:space="preserve">пока не все процессы автоматизированы, работа по предоставлению доступа будет вестись с каждым клиентом отдельно.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3"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Образование в цифрах: 2024: краткий статистический сборник / Т. А. Варламова,</w:t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Л. М. Гохберг, О. А. Зорина и др.; Нац. исслед. ун-т «Высшая школа экономики». – М. :</w:t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ИСИЭЗ ВШЭ, 2024. – С. 51. URL: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https://issek.hse.ru/mirror/pubs/share/969714030.pdf</w:t>
        </w:r>
      </w:hyperlink>
      <w:r w:rsidDel="00000000" w:rsidR="00000000" w:rsidRPr="00000000">
        <w:rPr>
          <w:sz w:val="20"/>
          <w:szCs w:val="20"/>
          <w:rtl w:val="0"/>
        </w:rPr>
        <w:t xml:space="preserve"> (дата обращения: 05.07.2025). </w:t>
      </w:r>
    </w:p>
  </w:footnote>
  <w:footnote w:id="2"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Там же. </w:t>
      </w:r>
    </w:p>
  </w:footnote>
  <w:footnote w:id="1">
    <w:p w:rsidR="00000000" w:rsidDel="00000000" w:rsidP="00000000" w:rsidRDefault="00000000" w:rsidRPr="00000000" w14:paraId="0000004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Образование в цифрах: 2024: краткий статистический сборник / Т. А. Варламова,</w:t>
      </w:r>
    </w:p>
    <w:p w:rsidR="00000000" w:rsidDel="00000000" w:rsidP="00000000" w:rsidRDefault="00000000" w:rsidRPr="00000000" w14:paraId="0000004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Л. М. Гохберг, О. А. Зорина и др.; Нац. исслед. ун-т «Высшая школа экономики». – М. :</w:t>
      </w:r>
    </w:p>
    <w:p w:rsidR="00000000" w:rsidDel="00000000" w:rsidP="00000000" w:rsidRDefault="00000000" w:rsidRPr="00000000" w14:paraId="0000004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ИСИЭЗ ВШЭ, 2024. – С. 51. URL: </w:t>
      </w:r>
      <w:hyperlink r:id="rId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https://issek.hse.ru/mirror/pubs/share/969714030.pdf</w:t>
        </w:r>
      </w:hyperlink>
      <w:r w:rsidDel="00000000" w:rsidR="00000000" w:rsidRPr="00000000">
        <w:rPr>
          <w:sz w:val="20"/>
          <w:szCs w:val="20"/>
          <w:rtl w:val="0"/>
        </w:rPr>
        <w:t xml:space="preserve"> (дата обращения: 05.07.2025). </w:t>
      </w:r>
    </w:p>
  </w:footnote>
  <w:footnote w:id="0">
    <w:p w:rsidR="00000000" w:rsidDel="00000000" w:rsidP="00000000" w:rsidRDefault="00000000" w:rsidRPr="00000000" w14:paraId="0000004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В России соотношение учеников и учителей оказалось одним из самых высоких — доклад ОЭСР (Педсовет). URL: </w:t>
      </w:r>
      <w:hyperlink r:id="rId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https://pedsovet.org/article/v-rossii-sootnosenie-ucenikov-i-ucitelej-okazalos-odnim-iz-samyh-vysokih-doklad-oesr</w:t>
        </w:r>
      </w:hyperlink>
      <w:r w:rsidDel="00000000" w:rsidR="00000000" w:rsidRPr="00000000">
        <w:rPr>
          <w:sz w:val="20"/>
          <w:szCs w:val="20"/>
          <w:rtl w:val="0"/>
        </w:rPr>
        <w:t xml:space="preserve"> (дата обращения: 06.07.2025).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ssek.hse.ru/mirror/pubs/share/969714030.pdf" TargetMode="External"/><Relationship Id="rId2" Type="http://schemas.openxmlformats.org/officeDocument/2006/relationships/hyperlink" Target="https://issek.hse.ru/mirror/pubs/share/969714030.pdf" TargetMode="External"/><Relationship Id="rId3" Type="http://schemas.openxmlformats.org/officeDocument/2006/relationships/hyperlink" Target="https://pedsovet.org/article/v-rossii-sootnosenie-ucenikov-i-ucitelej-okazalos-odnim-iz-samyh-vysokih-doklad-oe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