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Социальные технологии управления человеческими ресурсами в IT сфере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Севастьянов Кирилл Алексеевич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Писарев Никита Кириллович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3.Шевчук Полина Сергеевна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4.Мельников Арсений Сергеевич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5.Терёшин Иван Сергеевич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432"/>
              </w:tabs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https://pt.2035.university/project/ohota-na-it-specialistov-socialnye-tehnologii-v-rabote-s-celoveceskim-resursom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left" w:pos="432"/>
              </w:tabs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TechNet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Мы предлагаем услуги по hr аудиту и практические рекомендации в интерактивной форме на основе социологического знания и технологий социального управления для российских компаний, испытывающих проблемы с рекрутингом IT-персонала, нуждающихся во внешней оценке, ценящих научный подход и заинтересованных в высокой корпоративной культуре.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Низкая заинтересованность в российских работодателях. 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Кризис экспертности: перенасыщенность рынка начинающими специалистами, недостаток IT-персонала middle и senior.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Пассивное поведение кандидатов на рынке труда.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Гипотеза 1: Недавно появившиеся/небольшие компании на рынке IT, которые хотят нанять IT-специалистов, но не могу конкурировать с гигантами рынка</w:t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Гипотеза 2: Крупные российские компании испытывающие нехватку высококвалифицированных IT-специалистов уровня middle и выше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B2B (бизнес бизнесу) продукта, представляющего из себя сайт или лэндинг по предоставлению рекомендаций компаниям, испытывающих: нехватку IT специалистов; проблемы с наймом IT специалистов. </w:t>
              <w:br w:type="textWrapping"/>
              <w:t xml:space="preserve">Клиентами будут крупные IT компании, имеющие проблемы с наймом сотрудников либо небольшие IT компании, которые нацелены выиграть конкуренцию у крупных и занять свое место на рынке.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Объемы и виды работ связаны непосредственно с проблемами компаний, которые приобретают наши рекомендации.</w:t>
              <w:br w:type="textWrapping"/>
              <w:t xml:space="preserve">Ключевые ресурсы - человеческие и временные ресурсы. Ограничения в человеческих ресурсах могут быть связаны с недостатком сотрудников нашей компании для консультирования нескольких организаций одновременно.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200 000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Акции, выпускаемые компанией. Либо же, разделение капитала между самими участниками проекта, что подразумевает возможность нести риски убытков, в зависимости от стоимости принадлежащих участникам долей.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Profitability index &gt; 1 =&gt; проект прибыльный</w:t>
              <w:br w:type="textWrapping"/>
              <w:t xml:space="preserve">Исходя из итогов SWOT анализа, наш продукт будет актуален и жизненно необходим своей уникальностью для отечественных IT компаний в современных реалиях.</w:t>
            </w:r>
          </w:p>
        </w:tc>
      </w:tr>
    </w:tbl>
    <w:p w:rsidR="00000000" w:rsidDel="00000000" w:rsidP="00000000" w:rsidRDefault="00000000" w:rsidRPr="00000000" w14:paraId="0000002F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Подготовительный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¾ (3 недели)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“Охота на IT-специалистов”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месяца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Анализ данных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¼ (1 неделя)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Продвижение продукта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90 000</w:t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200 000 руб.</w:t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 Севастьянов Кирилл</w:t>
                  </w:r>
                </w:p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 Писарев Никита</w:t>
                  </w:r>
                </w:p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 Мельников Арсений</w:t>
                  </w:r>
                </w:p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4. Шевчук Полина</w:t>
                  </w:r>
                </w:p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5. Терёшин Иван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40 000 руб.</w:t>
                  </w:r>
                </w:p>
                <w:p w:rsidR="00000000" w:rsidDel="00000000" w:rsidP="00000000" w:rsidRDefault="00000000" w:rsidRPr="00000000" w14:paraId="0000005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40 000 руб.</w:t>
                  </w:r>
                </w:p>
                <w:p w:rsidR="00000000" w:rsidDel="00000000" w:rsidP="00000000" w:rsidRDefault="00000000" w:rsidRPr="00000000" w14:paraId="0000005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40 000 руб.</w:t>
                  </w:r>
                </w:p>
                <w:p w:rsidR="00000000" w:rsidDel="00000000" w:rsidP="00000000" w:rsidRDefault="00000000" w:rsidRPr="00000000" w14:paraId="0000005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40 000 руб.</w:t>
                  </w:r>
                </w:p>
                <w:p w:rsidR="00000000" w:rsidDel="00000000" w:rsidP="00000000" w:rsidRDefault="00000000" w:rsidRPr="00000000" w14:paraId="0000005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40 000 руб.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5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200 000 руб.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Шевчук Полина Сергеевна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Лидер,</w:t>
            </w:r>
          </w:p>
          <w:p w:rsidR="00000000" w:rsidDel="00000000" w:rsidP="00000000" w:rsidRDefault="00000000" w:rsidRPr="00000000" w14:paraId="0000006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координатор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+79104560104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Принятие решений. Координация действий участников команды.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курс, Социология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Севастьянов Кирилл Алексеевич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Генератор идей, исследователь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+79858963266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Генерация и выдвижение идей, проявление инициативы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курс, Социология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Писарев Никита Кириллович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Аналитик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+79058684043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процесса и результата работа, предложение решений по оптимизации. Анализ идей команды.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курс, Социология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Мельников Арсений Сергеевич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Реализатор, исследователь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+79919451533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Исполнение поставленных задач, коммуникация с внешней средой проектной группы, поиск возможностей реализации идей команды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курс, Социология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Терёшин Иван Сергеевич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Реализатор, доводчик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+79067730003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Исполнение поставленных задач, доведение до результата.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курс, Социология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pt.2035.university/project/ohota-na-it-specialistov-socialnye-tehnologii-v-rabote-s-celoveceskim-resurs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vXJ5GYi+fCQtA/24oQD2eGe+Q==">AMUW2mUPyYU7bRI+VpLSsaxK1daNJeORrHEdH2EcujsLWgzhuUo5mg6n0xodMkW4ilW3XFeOK+KWp0BDnhl2Nabf6eSh1+BC0HzdcI6tiGW5SnSRtiF9f2Y=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