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https://pt.2035.university/project/programmnoe-prilozenie-dla-tematiceskogo-obucenia-cat-botov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10.12.2024 20:55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«Московский государственный технический университет имени Н.Э.Баумана (национальный исследовательский университет)»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Москва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МГТУ им. Н.Э. Баумана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Приложение для обучения чат-ботов на основе ИИ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Разработка приложения для тематического дообучения чат-ботов с использованием больших языковых моделей (LLM) для автоматизации профессиональных процессов и создания интеллектуальных систем в различных областях знаний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информационных, управляющих, навигационных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NeuroNet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машинного обучения и когнитивные технологии, Технологии хранения и анализа больших данных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- 1891312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- 6453738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Акимова Мария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- 89151189065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maria.aki2004@gmail.com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1893164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6461647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Семенников Макар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(968) 438-23-14, +7 (968) 438-23-14, turset302@gmail.com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Проект направлен на создание программного приложения для тематического дообучения чат-ботов на основе больших языковых моделей (LLM). Цель проекта — предоставить экспертам в различных предметных областях, не обладающим навыками Data Science, удобный инструмент для создания специализированных чат-ботов, которые могут глубоко разбираться в конкретных темах. Задачи проекта включают разработку функционала для загрузки и обработки текстовых данных, настройки параметров обучения и интеграции методов обучения с подкреплением для повышения адаптивности моделей. Ожидаемые результаты — создание гибкой платформы, которая позволит пользователям обучать высокоспециализированных ботов, что значительно повысит эффективность работы в таких областях, как образование, медицина, право и научные исследования. Потенциальные потребители включают образовательные учреждения, научные организации, юридические и медицинские компании, а также предприятия, которые нуждаются в автоматизации текстовых процессов и создании узкоспециализированных решений на базе ИИ.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Программное приложение для создания специализированных чат-ботов, путем дообучения предобученных больших языковых моделей (LLM) для экспертов в предметных областях (в том числе гуманитарных направленностей), не владеющих навыками Data Science. Пользователи смогут выбирать и загружать свои собственные наборы данных (например, книги, статьи, учебные материалы) для тематического обучения чат-ботов, настраивать параметры обучения и применять методы дообучения с подкреплением для повышения адаптивности и качества ответов ботов.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продукт решает проблему специалистов, не обладающих навыками в Data Science, которым необходимо создавать и настраивать высококачественные чат-боты для работы с узкоспециализированными данными. Проблема заключается в сложности дообучения больших языковых моделей (LLM) без технических знаний, что ограничивает доступ к использованию ИИ-технологий для автоматизации профессиональных процессов. Наше приложение предоставляет простой и интуитивный интерфейс для дообучения моделей на основе пользовательских данных, устраняя необходимость в глубоких технических знаниях.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Потенциальными потребителями среди юридических лиц являются организации, которые активно используют большие объёмы текстовой информации и нуждаются в автоматизации процессов взаимодействия с клиентами, сотрудниками или пользователями. Причем, это должны быть организации (отрасли), которым нужны чат-боты очень хорошо разбирающиеся именно в их узких областях, например, таких как право или медицина. Физические лица, которые могут воспользоваться платформой, — это в основном специалисты с высшим образованием в самых разных профессиональных областях. Эти пользователи заинтересованы в автоматизации рутинных задач, таких как обработка информации или взаимодействие с клиентами, но не имеют технических навыков для самостоятельного создания и настройки нейросетей. Продукт ориентирован на профессионалов, которые хотят использовать преимущества ИИ без необходимости глубоко погружаться в Data Science. Географически основными рынками являются крупные города и регионы с развитыми ИТ-услугами, как в России, так и за рубежом.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Продукт будет создан на основе существующих научно-технических решений в области обработки естественного языка (NLP), в частности больших языковых моделей (LLM), таких как BERT, GPT и их производные. Эти модели используют архитектуру трансформеров для обработки текста, извлечения контекста и генерации ответов. Предобученные модели будут дообучаться на пользовательских данных с целью адаптации под специфические задачи. Для создания приложения будет использоваться PyQt5, мощный инструмент для разработки графических интерфейсов на Python. С его помощью будет создано настольное приложение с окнами для выбора моделей, загрузки данных и настройки параметров обучения. Важной частью продукта станет также интеграция с библиотеками машинного обучения, такими как Hugging Face Transformers, и реализация алгоритмов обучения с подкреплением, которые помогут улучшить адаптивность и качество созданных моделей.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Бизнес-модель проекта основана на модели SaaS (Software as a Service), где пользователи будут получать доступ к платформе на основе подписки. Основная ценность создается за счет предоставления простого и доступного инструмента для дообучения больших языковых моделей, что позволит специалистам из различных отраслей адаптировать ИИ-решения под свои задачи без глубоких знаний в области Data Science. Планируется привлекать пользователей через таргетированную рекламу в профессиональных сообществах, вебинарах, конференциях и через партнерские программы с отраслевыми организациями. Каналы сбыта включают онлайн-платформы и прямую продажу через корпоративные предложения. Потребители смогут выбирать из различных тарифов: от базовой подписки до премиальных функций, включая обучение с подкреплением. Финансирование предполагается через венчурные инвестиции, государственные гранты на инновации и партнерские соглашения.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Hugging Face. Платформа для работы с большими языковыми моделями, которая предлагает доступ к предобученным моделям и инструменты для их дообучения. OpenAI (ChatGPT). OpenAI предоставляет модели GPT, которые могут быть интегрированы в различные продукты и сервисы. Rasa. Платформа с открытым исходным кодом для создания чат-ботов с использованием машинного обучения. Rasa предоставляет инструменты для построения и обучения кастомных ботов, включая интеграцию с NLP-моделями. Dialogflow (Google). Платформа для разработки и интеграции чат-ботов от Google, предлагающая инструменты для создания разговорных интерфейсов на основе ИИ. Microsoft Azure Bot Service.Услуга от Microsoft для создания и развертывания чат-ботов с использованием мощностей облака Azure. Предоставляет интеграции с предобученными моделями и ИИ-решениями, а также предлагает функционал для создания гибких чат-ботов. Эти компании и платформы уже имеют зрелые решения в сфере языковых моделей и чат-ботов, что делает их конкурентами в плане функционала, удобства и доступности ИИ-технологий для пользователей.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Наше ценностное предложение заключается в том, что мы предоставляем интуитивно понятную платформу для тематического дообучения больших языковых моделей (LLM), специально разработанную для пользователей, не обладающих техническими навыками в области Data Science. В отличие от конкурентов, наш продукт фокусируется на простоте использования и адаптации под узкоспециализированные задачи.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Уникальность продукта (акцент на гуманитариев), дешевизна, доступность и простота использования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Приложение предлагает простую интеграцию с предобученными моделями, такими как BERT, GPT, и их адаптацию под пользовательские задачи. Наше решение обеспечивает несколько ключевых характеристик, которые создают конкурентные преимущества: интуитивно-понятный пользовательский интерфейс, тематическое дообучение, наличие обучения с подкреплением, уникальная возможность дообучения нейросетей при помощи оконного интерфейса.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Организационные параметры (форма - ООО, персонал: технический директор, 2-3 разработчика, маркетолог, UX/UI-дизайнер, менеджер по работе с клиентами) Производственные параметры (планирование, разработка, тестирование, запуск, тех. поддержка и развитие) Финансовые: - стартовый бюджет - 3 млн. рублей - ежемесячные затраты от 350 000 до 1 000 000 рублей в месяц - ежемесячный доход: 100 000 рублей при 1000 пользователях (10% платные) и стоимости платной подписки: 1000 рублей/месяц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Уникальность продукта (акцент на гуманитариев), дешевизна, доступность и простота использования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Необходимы следующие научно-техническое решения: - Визуальный редактор архитектуры: Drag-and-drop интерфейс - Интеграция с облаком - API: REST API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 итогам прохождения акселерационной программы стартап находится на уровне TRL 4: разработан детальный макет решения, демонстрирующий его работоспособность. Организационно сформирована команда с компетенциями в разработке и продвижении продукта, создан MVP с базовым функционалом для тестирования на пилотной группе. Уровень оценен в соответствии со статьей: https://www.smartbusinesstrips.ru/blog/urovni-gotovnosti-tehnologii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проект по разработке программного приложения для обучения чат-ботов на основе ИИ полностью соответствует научным и научно-техническим приоритетам образовательной организации. Как пример ссылка на статью: https://bmstu.ru/news/baumanka-4-0-strategiya-razvitiya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Аргументы в пользу выбора каналов продвижения: - Целевая реклама в профессиональных сообществах позволяет экономить ресурсы, привлекая только заинтересованных пользователей. - Сотрудничество с образовательными учреждениями помогает формировать долгосрочные связи и расширяет базу лояльных пользователей. - Digital-реклама и контент-маркетинг обеспечивают широкую охватность и возможность визуально объяснить сложные технологии, что важно для гуманитариев и начинающих пользователей.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Онлайн-продажи через собственный веб-сайт Описание: Продукт будет доступен для покупки и использования через официальный веб-сайт. Обоснование: Полный контроль над процессом продаж. Простота интеграции с подписочными сервисами и инструментами аналитики. Удобство для пользователей: доступность информации о продукте, демо-версии, документации и обновлений. 2. Партнёрство с образовательными учреждениями Описание: Лицензионная продажа продукта для университетов, школ и центров повышения квалификации. Обоснование: Расширение базы пользователей за счёт образовательных программ. Создание долгосрочных партнёрств с крупными организациями. Соответствие целям цифровизации образования. 3. Маркетплейсы и специализированные платформы Описание: Размещение продукта на профессиональных маркетплейсах для программного обеспечения. Обоснование: Повышение видимости среди технической аудитории. Доступ к платёжным платформам и аудиториям, которые уже ищут такие продукты.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Наш стартап-проект решает ключевую проблему для специалистов, не обладающих навыками Data Science, которым необходимо создавать и дообучать высококачественные чат-боты для работы с узкоспециализированными данными. С помощью нашей платформы пользователи могут дообучать большие языковые модели (LLM) на своих данных, не погружаясь в сложные технические аспекты машинного обучения. Решаемая часть проблемы: - Автоматизация обучения чат-ботов: Устраняется сложность, связанная с программированием и настройкой моделей, что делает ИИ доступным для специалистов в предметных областях в том числе гуманитарных и естественно-научных - Тематическое дообучение: Платформа позволяет обучать ботов на специализированных текстах, что значительно повышает точность и релевантность ответов в конкретных профессиональных сферах. - Обучение с подкреплением: Упрощается процесс улучшения моделей на основе взаимодействия с пользователями, что помогает решать задачи адаптивности чат-ботов. Таким образом, платформа решает основную часть проблемы, связанную с доступностью и эффективностью внедрения ИИ для непрофессионалов в области машинного обучения.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«Держатель» проблемы — это профессионалы в различных областях (медицина, образование, юриспруденция и другие), которые не обладают навыками Data Science, но нуждаются в эффективных инструментах для автоматизации рутинных задач, таких как обработка данных, общение с клиентами, консультирование и обучение. Эти специалисты сталкиваются с необходимостью создания специализированных чат-ботов, способных глубоко разбираться в их сфере деятельности, но не могут самостоятельно реализовать такие решения из-за сложности технологий машинного обучения. Мотивация: - Повышение эффективности работы: Автоматизация рутинных процессов с помощью чат-ботов, адаптированных под их профессиональные нужды, может существенно ускорить выполнение задач и улучшить качество обслуживания клиентов или обучения. - Отсутствие необходимости глубоких технических знаний: Специалисты хотят использовать современные технологии ИИ, но не готовы обучаться сложным технологиям и программированию. - Улучшение качества взаимодействия: Создание ботов, способных более точно отвечать на вопросы и решать задачи в узкой профессиональной области, повышает качество взаимодействия с пользователями и клиентами. Наше приложение предоставляет возможность специалистам легко дообучать чат-ботов на основе собственных данных, адаптируя их под конкретные профессиональные задачи. Благодаря интуитивному интерфейсу, пользователи могут загружать данные, настраивать параметры обучения и адаптировать ботов для своих нужд, не погружаясь в технические аспекты.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будет решена с помощью нашего приложения, которое позволяет непрофессионалам в области Data Science дообучать большие языковые модели (LLM) и создавать специализированных чат-ботов для своих профессиональных задач. Основные способы решения проблемы включают: - Интуитивный интерфейс: Пользователи смогут легко загружать свои данные (например, книги, статьи, учебные материалы), выбирать предобученные языковые модели и настраивать параметры обучения без необходимости в программировании. Это значительно снижает технические барьеры для специалистов. - Обучение с подкреплением: Платформа включает поддержку методов обучения с подкреплением, что позволяет ботам обучаться и адаптироваться на основе обратной связи от пользователей, что делает их более адаптивными и улучшает качество их взаимодействия с клиентами. Таким образом, наши услуги помогут специалистам автоматизировать их задачи, повысить точность ответов ботов и ускорить рабочие процессы, не требуя от них глубоких знаний в машинном обучении.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- Сегмент рынка Основная аудитория: Гуманитарии и специалисты в предметных областях (юристы, преподаватели, психологи). Малый и средний бизнес, внедряющий ИИ. Обоснование выбора: На рынке отсутствуют простые инструменты для работы с нейросетями, доступные пользователям без технического бэкграунда. Растущий спрос на внедрение ИИ в профессиональные и образовательные процессы. Доля рынка Предполагаемый охват: Образовательный сегмент (Эдунет): 10% рынка образовательных технологий за 5 лет. Малый и средний бизнес: 5–50% рынка инструментов автоматизации на базе ИИ. Обоснование: Высокая доступность продукта (гибкие тарифы, упрощённый интерфейс). Значительный дефицит простых решений в выбранных сегментах. - Возможности для масштабирования бизнеса Расширение функционала: Поддержка сложных задач (дообучение больших языковых моделей). Введение платных модулей и шаблонов для узкоспециализированных отраслей. Выход на международный рынок: Локализация интерфейса для других языков. Интеграция с глобальными платформами (AWS Marketplace, Google Cloud). Расширение аудитории: Включение новых сегментов, таких как школьники и начинающие программисты. Предложение корпоративных решений для автоматизации. Партнёрства с индустриями: Сотрудничество с университетами и компаниями для интеграции в образовательные и бизнес-процессы.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Разработка и запуск MVP (6 месяцев) 2. Маркетинг и привлечение пользователей (6–9 месяцев) Целевая реклама в профессиональных сообществах (Habr, LinkedIn). Публикации в профильных изданиях. Проведение онлайн-вебинаров и демонстраций продукта. Подготовка обучающих материалов для преподавателей и студентов. 3. Развитие функционала (9–12 месяцев) Задачи: Добавление новых шаблонов для задач и улучшение интерфейса. Участие в программах акселерации для расширения бизнес-модели. Работа с технопарками для предоставления инфраструктуры (офисы, сервера). Частные инвестиции: Привлечение инвесторов, заинтересованных в развитии образовательных технологий (EdTech) и нейротехнологий (Нейронет).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