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263"/>
      </w:tblGrid>
      <w:tr w:rsidR="003941D0" w:rsidRPr="003D1789" w14:paraId="7DF08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FB3F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1. </w:t>
            </w:r>
            <w:r>
              <w:rPr>
                <w:rFonts w:ascii="Gill Sans" w:hAnsi="Gill Sans"/>
              </w:rPr>
              <w:t>Общая информация о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проекте</w:t>
            </w:r>
          </w:p>
        </w:tc>
      </w:tr>
      <w:tr w:rsidR="003941D0" w14:paraId="0AFE1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B8ED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Название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проекта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0CBB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Saveres</w:t>
            </w:r>
          </w:p>
        </w:tc>
      </w:tr>
      <w:tr w:rsidR="003941D0" w14:paraId="44FED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E9672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Команда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проекта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79C5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Абдуллаева Амина Тельмановна</w:t>
            </w:r>
          </w:p>
          <w:p w14:paraId="5CD232B0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Аскарова Альфина Ильдаровна </w:t>
            </w:r>
          </w:p>
          <w:p w14:paraId="06EF65A7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Белобрицкая Анна Дмитриевна </w:t>
            </w:r>
          </w:p>
          <w:p w14:paraId="291B77BC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Бычкова Анна Геннадьевна</w:t>
            </w:r>
          </w:p>
          <w:p w14:paraId="1DCD2664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Нестерова Мария Артемовна </w:t>
            </w:r>
          </w:p>
          <w:p w14:paraId="62467B8E" w14:textId="77777777" w:rsidR="003941D0" w:rsidRDefault="003D1789">
            <w:pPr>
              <w:pStyle w:val="2"/>
              <w:numPr>
                <w:ilvl w:val="0"/>
                <w:numId w:val="1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Титченкова Полина Алексеевна</w:t>
            </w:r>
          </w:p>
        </w:tc>
      </w:tr>
      <w:tr w:rsidR="003941D0" w:rsidRPr="003D1789" w14:paraId="6265A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00E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Ссылка на проект в информационной системе </w:t>
            </w:r>
            <w:r>
              <w:rPr>
                <w:rFonts w:ascii="Gill Sans" w:hAnsi="Gill Sans"/>
              </w:rPr>
              <w:t>Projects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3A8A" w14:textId="77777777" w:rsidR="003941D0" w:rsidRPr="003D1789" w:rsidRDefault="003941D0">
            <w:pPr>
              <w:rPr>
                <w:lang w:val="ru-RU"/>
              </w:rPr>
            </w:pPr>
          </w:p>
        </w:tc>
      </w:tr>
      <w:tr w:rsidR="003941D0" w:rsidRPr="003D1789" w14:paraId="2BCA1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E8F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Технологическое направление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F8F2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Энерджинет</w:t>
            </w:r>
            <w:r>
              <w:rPr>
                <w:rFonts w:ascii="Gill Sans" w:hAnsi="Gill Sans"/>
              </w:rPr>
              <w:t xml:space="preserve"> </w:t>
            </w:r>
            <w:hyperlink r:id="rId7" w:history="1">
              <w:r>
                <w:rPr>
                  <w:rStyle w:val="Hyperlink0"/>
                  <w:rFonts w:ascii="Gill Sans" w:hAnsi="Gill Sans"/>
                  <w:lang w:val="en-US"/>
                </w:rPr>
                <w:t>http</w:t>
              </w:r>
              <w:r w:rsidRPr="003D1789">
                <w:rPr>
                  <w:rStyle w:val="Hyperlink0"/>
                  <w:rFonts w:ascii="Gill Sans" w:hAnsi="Gill Sans"/>
                </w:rPr>
                <w:t>://</w:t>
              </w:r>
              <w:r>
                <w:rPr>
                  <w:rStyle w:val="Hyperlink0"/>
                  <w:rFonts w:ascii="Gill Sans" w:hAnsi="Gill Sans"/>
                  <w:lang w:val="en-US"/>
                </w:rPr>
                <w:t>www</w:t>
              </w:r>
              <w:r w:rsidRPr="003D1789">
                <w:rPr>
                  <w:rStyle w:val="Hyperlink0"/>
                  <w:rFonts w:ascii="Gill Sans" w:hAnsi="Gill Sans"/>
                </w:rPr>
                <w:t>.</w:t>
              </w:r>
              <w:r>
                <w:rPr>
                  <w:rStyle w:val="Hyperlink0"/>
                  <w:rFonts w:ascii="Gill Sans" w:hAnsi="Gill Sans"/>
                  <w:lang w:val="en-US"/>
                </w:rPr>
                <w:t>nti</w:t>
              </w:r>
              <w:r w:rsidRPr="003D1789">
                <w:rPr>
                  <w:rStyle w:val="Hyperlink0"/>
                  <w:rFonts w:ascii="Gill Sans" w:hAnsi="Gill Sans"/>
                </w:rPr>
                <w:t>2035.</w:t>
              </w:r>
              <w:r>
                <w:rPr>
                  <w:rStyle w:val="Hyperlink0"/>
                  <w:rFonts w:ascii="Gill Sans" w:hAnsi="Gill Sans"/>
                  <w:lang w:val="en-US"/>
                </w:rPr>
                <w:t>ru</w:t>
              </w:r>
              <w:r w:rsidRPr="003D1789">
                <w:rPr>
                  <w:rStyle w:val="Hyperlink0"/>
                  <w:rFonts w:ascii="Gill Sans" w:hAnsi="Gill Sans"/>
                </w:rPr>
                <w:t>/</w:t>
              </w:r>
              <w:r>
                <w:rPr>
                  <w:rStyle w:val="Hyperlink0"/>
                  <w:rFonts w:ascii="Gill Sans" w:hAnsi="Gill Sans"/>
                  <w:lang w:val="en-US"/>
                </w:rPr>
                <w:t>markets</w:t>
              </w:r>
              <w:r w:rsidRPr="003D1789">
                <w:rPr>
                  <w:rStyle w:val="Hyperlink0"/>
                  <w:rFonts w:ascii="Gill Sans" w:hAnsi="Gill Sans"/>
                </w:rPr>
                <w:t>/</w:t>
              </w:r>
              <w:r>
                <w:rPr>
                  <w:rStyle w:val="Hyperlink0"/>
                  <w:rFonts w:ascii="Gill Sans" w:hAnsi="Gill Sans"/>
                  <w:lang w:val="en-US"/>
                </w:rPr>
                <w:t>energynet</w:t>
              </w:r>
            </w:hyperlink>
          </w:p>
        </w:tc>
      </w:tr>
      <w:tr w:rsidR="003941D0" w:rsidRPr="003D1789" w14:paraId="41D05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CB412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Описание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 xml:space="preserve">проекта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технология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услуга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продукт</w:t>
            </w:r>
            <w:r>
              <w:rPr>
                <w:rFonts w:ascii="Gill Sans" w:hAnsi="Gill San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D37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     Saveres </w:t>
            </w:r>
            <w:r>
              <w:rPr>
                <w:rFonts w:ascii="Gill Sans" w:hAnsi="Gill Sans"/>
              </w:rPr>
              <w:t>— приложение по сбережению электроэнергии и воды в домах с системой умного дома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Приложение будет собирать данн</w:t>
            </w:r>
            <w:r>
              <w:rPr>
                <w:rFonts w:ascii="Gill Sans" w:hAnsi="Gill Sans"/>
              </w:rPr>
              <w:t>ые об использовании электроприборов и количестве расходуемой воды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анализировать полученную информацию и давать рекомендации по сокращению использования ресурсов в соответсвии с экологически допустимыми нормами</w:t>
            </w:r>
            <w:r>
              <w:rPr>
                <w:rFonts w:ascii="Gill Sans" w:hAnsi="Gill Sans"/>
              </w:rPr>
              <w:t xml:space="preserve">.  </w:t>
            </w:r>
          </w:p>
          <w:p w14:paraId="3660FCD5" w14:textId="77777777" w:rsidR="003941D0" w:rsidRDefault="003941D0">
            <w:pPr>
              <w:pStyle w:val="2"/>
            </w:pPr>
          </w:p>
        </w:tc>
      </w:tr>
      <w:tr w:rsidR="003941D0" w:rsidRPr="003D1789" w14:paraId="28A5C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3F85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Актуальность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 xml:space="preserve">проекта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описание проблемы и решение проблемы</w:t>
            </w:r>
            <w:r>
              <w:rPr>
                <w:rFonts w:ascii="Gill Sans" w:hAnsi="Gill San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D4E5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 xml:space="preserve">     Система умного дома всё больше и больше набирает популярность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Параллельно с этим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людей продолжают беспокоить проблемы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связанные с экологией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Одной из таких проблем является чрезмерное использование </w:t>
            </w:r>
            <w:r>
              <w:rPr>
                <w:rFonts w:ascii="Gill Sans" w:hAnsi="Gill Sans"/>
              </w:rPr>
              <w:t>ресурсов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Данный проект направлен на решение вышеупомянутого вопроса по средствам сокращения использования электроэнергии и количества потребляемой воды в домах с системой умного дома</w:t>
            </w:r>
            <w:r>
              <w:rPr>
                <w:rFonts w:ascii="Gill Sans" w:hAnsi="Gill Sans"/>
              </w:rPr>
              <w:t xml:space="preserve">. </w:t>
            </w:r>
          </w:p>
          <w:p w14:paraId="48E7072B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 xml:space="preserve">     В ближайшие несколько лет в нашей стране будут массово устанавлив</w:t>
            </w:r>
            <w:r>
              <w:rPr>
                <w:rFonts w:ascii="Gill Sans" w:hAnsi="Gill Sans"/>
              </w:rPr>
              <w:t>ать умные счетчики электроэнергии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газа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воды и тепла</w:t>
            </w:r>
            <w:r>
              <w:rPr>
                <w:rFonts w:ascii="Gill Sans" w:hAnsi="Gill Sans"/>
              </w:rPr>
              <w:t xml:space="preserve">. </w:t>
            </w:r>
          </w:p>
          <w:p w14:paraId="620ADC61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>Владелец продвинутого устройства по фиксации израсходованной электроэнергии и нашего приложения сможет анализировать почасовую динамику электропотребления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ему будет доступна возможность оптимизации р</w:t>
            </w:r>
            <w:r>
              <w:rPr>
                <w:rFonts w:ascii="Gill Sans" w:hAnsi="Gill Sans"/>
              </w:rPr>
              <w:t>асходования энергии и рекомендации</w:t>
            </w:r>
            <w:r>
              <w:rPr>
                <w:rFonts w:ascii="Gill Sans" w:hAnsi="Gill Sans"/>
              </w:rPr>
              <w:t xml:space="preserve">. </w:t>
            </w:r>
          </w:p>
          <w:p w14:paraId="55B55452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>Таким образом мы сможем уменьшить тот вред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который электростанции наносят природе</w:t>
            </w:r>
            <w:r>
              <w:rPr>
                <w:rFonts w:ascii="Gill Sans" w:hAnsi="Gill Sans"/>
              </w:rPr>
              <w:t>.</w:t>
            </w:r>
          </w:p>
          <w:p w14:paraId="2870BAE3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 xml:space="preserve">     Для потребителей энергоэффективность – не только способ сохранить «здоровье» планеты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но еще и способ сохранить личный бюджет</w:t>
            </w:r>
            <w:r>
              <w:rPr>
                <w:rFonts w:ascii="Gill Sans" w:hAnsi="Gill Sans"/>
              </w:rPr>
              <w:t>.</w:t>
            </w:r>
          </w:p>
          <w:p w14:paraId="07BE5BED" w14:textId="77777777" w:rsidR="003941D0" w:rsidRDefault="003D1789">
            <w:pPr>
              <w:pStyle w:val="2"/>
              <w:rPr>
                <w:rFonts w:ascii="Gill Sans" w:eastAsia="Gill Sans" w:hAnsi="Gill Sans" w:cs="Gill Sans"/>
                <w:color w:val="96D35F"/>
              </w:rPr>
            </w:pPr>
            <w:hyperlink r:id="rId8" w:history="1">
              <w:r>
                <w:rPr>
                  <w:rStyle w:val="a5"/>
                  <w:rFonts w:ascii="Gill Sans" w:hAnsi="Gill Sans"/>
                  <w:color w:val="96D35F"/>
                </w:rPr>
                <w:t>https://www.fontanka.ru/2022/01/31/70405571/</w:t>
              </w:r>
            </w:hyperlink>
          </w:p>
          <w:p w14:paraId="2CD95530" w14:textId="77777777" w:rsidR="003941D0" w:rsidRDefault="003D1789">
            <w:pPr>
              <w:pStyle w:val="2"/>
            </w:pPr>
            <w:hyperlink r:id="rId9" w:history="1"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https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://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www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.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eea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.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europa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.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eu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/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help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/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glossary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/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eea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-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glossary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/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environmental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-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impact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-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of</w:t>
              </w:r>
              <w:r w:rsidRPr="003D1789">
                <w:rPr>
                  <w:rStyle w:val="a5"/>
                  <w:rFonts w:ascii="Gill Sans" w:hAnsi="Gill Sans"/>
                  <w:color w:val="96D35F"/>
                </w:rPr>
                <w:t>-</w:t>
              </w:r>
              <w:r>
                <w:rPr>
                  <w:rStyle w:val="a5"/>
                  <w:rFonts w:ascii="Gill Sans" w:hAnsi="Gill Sans"/>
                  <w:color w:val="96D35F"/>
                  <w:lang w:val="en-US"/>
                </w:rPr>
                <w:t>energy</w:t>
              </w:r>
            </w:hyperlink>
          </w:p>
        </w:tc>
      </w:tr>
      <w:tr w:rsidR="003941D0" w14:paraId="61BB1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25F8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Технологические риски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8C04" w14:textId="77777777" w:rsidR="003941D0" w:rsidRDefault="003D1789">
            <w:pPr>
              <w:pStyle w:val="2"/>
              <w:numPr>
                <w:ilvl w:val="0"/>
                <w:numId w:val="2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Остановка работы приложения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сбои в работе</w:t>
            </w:r>
          </w:p>
          <w:p w14:paraId="19801EBE" w14:textId="77777777" w:rsidR="003941D0" w:rsidRDefault="003D1789">
            <w:pPr>
              <w:pStyle w:val="2"/>
              <w:numPr>
                <w:ilvl w:val="0"/>
                <w:numId w:val="2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Взлом системы</w:t>
            </w:r>
          </w:p>
          <w:p w14:paraId="632815B8" w14:textId="77777777" w:rsidR="003941D0" w:rsidRDefault="003D1789">
            <w:pPr>
              <w:pStyle w:val="2"/>
              <w:numPr>
                <w:ilvl w:val="0"/>
                <w:numId w:val="2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Полное отключение системы при прекращении подачи электроэнергии</w:t>
            </w:r>
          </w:p>
          <w:p w14:paraId="13D6249D" w14:textId="77777777" w:rsidR="003941D0" w:rsidRDefault="003D1789">
            <w:pPr>
              <w:pStyle w:val="2"/>
              <w:numPr>
                <w:ilvl w:val="0"/>
                <w:numId w:val="2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Нестабильный интернет </w:t>
            </w:r>
          </w:p>
          <w:p w14:paraId="19475CAD" w14:textId="77777777" w:rsidR="003941D0" w:rsidRDefault="003D1789">
            <w:pPr>
              <w:pStyle w:val="2"/>
              <w:numPr>
                <w:ilvl w:val="0"/>
                <w:numId w:val="2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lastRenderedPageBreak/>
              <w:t>Отсутсвие сокращения энергоресурсов</w:t>
            </w:r>
          </w:p>
        </w:tc>
      </w:tr>
      <w:tr w:rsidR="003941D0" w:rsidRPr="003D1789" w14:paraId="1FF50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1610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lastRenderedPageBreak/>
              <w:t>Потенциальные заказчики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527B" w14:textId="77777777" w:rsidR="003941D0" w:rsidRDefault="003D1789">
            <w:pPr>
              <w:pStyle w:val="2"/>
              <w:numPr>
                <w:ilvl w:val="0"/>
                <w:numId w:val="3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Государственные учреждения</w:t>
            </w:r>
          </w:p>
          <w:p w14:paraId="32C11D63" w14:textId="77777777" w:rsidR="003941D0" w:rsidRDefault="003D1789">
            <w:pPr>
              <w:pStyle w:val="2"/>
              <w:numPr>
                <w:ilvl w:val="0"/>
                <w:numId w:val="3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Коммерческие </w:t>
            </w:r>
            <w:r>
              <w:rPr>
                <w:rFonts w:ascii="Gill Sans" w:hAnsi="Gill Sans"/>
              </w:rPr>
              <w:t>организации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заинтересованные в сохранении экологии </w:t>
            </w:r>
          </w:p>
          <w:p w14:paraId="35913D9A" w14:textId="77777777" w:rsidR="003941D0" w:rsidRDefault="003D1789">
            <w:pPr>
              <w:pStyle w:val="2"/>
              <w:numPr>
                <w:ilvl w:val="0"/>
                <w:numId w:val="3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Потребители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имеющие дом с системой умного дома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заинтересованные в сохранении экологии и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или сокращении расходов на счёт за коммунальные услуги</w:t>
            </w:r>
          </w:p>
        </w:tc>
      </w:tr>
      <w:tr w:rsidR="003941D0" w:rsidRPr="003D1789" w14:paraId="42B46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B59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Бизнес модель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 xml:space="preserve">проекта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 xml:space="preserve">как вы </w:t>
            </w:r>
            <w:r>
              <w:rPr>
                <w:rFonts w:ascii="Gill Sans" w:hAnsi="Gill Sans"/>
              </w:rPr>
              <w:t>планируете зарабатывать посредствам реализации данного проекта</w:t>
            </w:r>
            <w:r>
              <w:rPr>
                <w:rFonts w:ascii="Gill Sans" w:hAnsi="Gill San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549A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     Первоначальное финансирование проекта планируется за счёт средств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полученных от инвесторов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Дальнейшее финансирование проекта будет осуществляться за счет средств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вырученных за подписки</w:t>
            </w:r>
            <w:r>
              <w:rPr>
                <w:rFonts w:ascii="Gill Sans" w:hAnsi="Gill Sans"/>
              </w:rPr>
              <w:t xml:space="preserve"> потребителей на платные функции приложения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Стоимость месячной подписки составляет </w:t>
            </w:r>
            <w:r>
              <w:rPr>
                <w:rFonts w:ascii="Gill Sans" w:hAnsi="Gill Sans"/>
              </w:rPr>
              <w:t>199</w:t>
            </w:r>
            <w:r>
              <w:rPr>
                <w:rFonts w:ascii="Gill Sans" w:hAnsi="Gill Sans"/>
              </w:rPr>
              <w:t>₽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семейная подписка — </w:t>
            </w:r>
            <w:r>
              <w:rPr>
                <w:rFonts w:ascii="Gill Sans" w:hAnsi="Gill Sans"/>
              </w:rPr>
              <w:t>299</w:t>
            </w:r>
            <w:r>
              <w:rPr>
                <w:rFonts w:ascii="Gill Sans" w:hAnsi="Gill Sans"/>
              </w:rPr>
              <w:t>₽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для юридических лиц — договорная по контракту</w:t>
            </w:r>
            <w:r>
              <w:rPr>
                <w:rFonts w:ascii="Gill Sans" w:hAnsi="Gill Sans"/>
              </w:rPr>
              <w:t xml:space="preserve">. </w:t>
            </w:r>
          </w:p>
        </w:tc>
      </w:tr>
      <w:tr w:rsidR="003941D0" w:rsidRPr="003D1789" w14:paraId="384CA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8DBB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Обоснование соответствия идеи технологическому направлению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описание основных технологических параметров</w:t>
            </w:r>
            <w:r>
              <w:rPr>
                <w:rFonts w:ascii="Gill Sans" w:hAnsi="Gill San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FE3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     Приложение </w:t>
            </w:r>
            <w:r>
              <w:rPr>
                <w:rFonts w:ascii="Gill Sans" w:hAnsi="Gill Sans"/>
              </w:rPr>
              <w:t xml:space="preserve">Saveres </w:t>
            </w:r>
            <w:r>
              <w:rPr>
                <w:rFonts w:ascii="Gill Sans" w:hAnsi="Gill Sans"/>
              </w:rPr>
              <w:t>собирает данные об использовании об использованных электроэнергии и воды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анализируя их и предлагая решения по сокращению их и</w:t>
            </w:r>
            <w:r>
              <w:rPr>
                <w:rFonts w:ascii="Gill Sans" w:hAnsi="Gill Sans"/>
              </w:rPr>
              <w:t>спользования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Одной из целью направления энерджинет является готовность к выходу на смежные сегменты рынка систем и сервисов интеллектуальной энергетики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коммунальные и ресурсные сервисы ЖКХ</w:t>
            </w:r>
            <w:r>
              <w:rPr>
                <w:rFonts w:ascii="Gill Sans" w:hAnsi="Gill Sans"/>
              </w:rPr>
              <w:t>).</w:t>
            </w:r>
          </w:p>
        </w:tc>
      </w:tr>
      <w:tr w:rsidR="003941D0" w14:paraId="700E7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C10A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2. </w:t>
            </w:r>
            <w:r>
              <w:rPr>
                <w:rFonts w:ascii="Gill Sans" w:hAnsi="Gill Sans"/>
              </w:rPr>
              <w:t>Порядок и структура финансировани</w:t>
            </w:r>
          </w:p>
        </w:tc>
      </w:tr>
      <w:tr w:rsidR="003941D0" w14:paraId="16F95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561DE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Объем </w:t>
            </w:r>
            <w:r>
              <w:rPr>
                <w:rFonts w:ascii="Gill Sans" w:hAnsi="Gill Sans"/>
              </w:rPr>
              <w:t>финансового обеспечения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873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22 </w:t>
            </w:r>
            <w:r>
              <w:rPr>
                <w:rFonts w:ascii="Gill Sans" w:hAnsi="Gill Sans"/>
              </w:rPr>
              <w:t>млн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руб</w:t>
            </w:r>
            <w:r>
              <w:rPr>
                <w:rFonts w:ascii="Gill Sans" w:hAnsi="Gill Sans"/>
              </w:rPr>
              <w:t>.</w:t>
            </w:r>
          </w:p>
        </w:tc>
      </w:tr>
      <w:tr w:rsidR="003941D0" w:rsidRPr="003D1789" w14:paraId="6B526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1B09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Предполагаемые источники финансирования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0D59" w14:textId="77777777" w:rsidR="003941D0" w:rsidRDefault="003D1789">
            <w:pPr>
              <w:pStyle w:val="2"/>
              <w:rPr>
                <w:rFonts w:ascii="Gill Sans" w:eastAsia="Gill Sans" w:hAnsi="Gill Sans" w:cs="Gill Sans"/>
              </w:rPr>
            </w:pPr>
            <w:r>
              <w:rPr>
                <w:rFonts w:ascii="Gill Sans" w:hAnsi="Gill Sans"/>
              </w:rPr>
              <w:t>Первоначально инвесторы</w:t>
            </w:r>
            <w:r>
              <w:rPr>
                <w:rFonts w:ascii="Gill Sans" w:hAnsi="Gill Sans"/>
              </w:rPr>
              <w:t xml:space="preserve">: </w:t>
            </w:r>
          </w:p>
          <w:p w14:paraId="140DEA86" w14:textId="77777777" w:rsidR="003941D0" w:rsidRDefault="003D1789">
            <w:pPr>
              <w:pStyle w:val="2"/>
              <w:numPr>
                <w:ilvl w:val="0"/>
                <w:numId w:val="4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Государство</w:t>
            </w:r>
          </w:p>
          <w:p w14:paraId="74EACC53" w14:textId="77777777" w:rsidR="003941D0" w:rsidRDefault="003D1789">
            <w:pPr>
              <w:pStyle w:val="2"/>
              <w:numPr>
                <w:ilvl w:val="0"/>
                <w:numId w:val="4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Коммерческие организации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направленные на сохранение экологии</w:t>
            </w:r>
          </w:p>
          <w:p w14:paraId="6EAD8E73" w14:textId="77777777" w:rsidR="003941D0" w:rsidRDefault="003D1789">
            <w:pPr>
              <w:pStyle w:val="2"/>
              <w:numPr>
                <w:ilvl w:val="0"/>
                <w:numId w:val="4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Лица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заинтересованные в сохранении экологии </w:t>
            </w:r>
          </w:p>
          <w:p w14:paraId="133ECD30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Дальнейшее финансирование предполагается за счёт подписок на приложение</w:t>
            </w:r>
          </w:p>
        </w:tc>
      </w:tr>
      <w:tr w:rsidR="003941D0" w14:paraId="3D15F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20D1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lastRenderedPageBreak/>
              <w:t>Оценка потенциала «рынка» и рентабельности проекта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CA91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     Согласно плану Минстроя в </w:t>
            </w:r>
            <w:r>
              <w:rPr>
                <w:rFonts w:ascii="Gill Sans" w:hAnsi="Gill Sans"/>
              </w:rPr>
              <w:t xml:space="preserve">2024 </w:t>
            </w:r>
            <w:r>
              <w:rPr>
                <w:rFonts w:ascii="Gill Sans" w:hAnsi="Gill Sans"/>
              </w:rPr>
              <w:t xml:space="preserve">году необходимо внести изменения в законодательство для </w:t>
            </w:r>
            <w:r>
              <w:rPr>
                <w:rFonts w:ascii="Gill Sans" w:hAnsi="Gill Sans"/>
              </w:rPr>
              <w:t>подготовки правовой основы для нововведений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Замена счетчиков должна начаться в </w:t>
            </w:r>
            <w:r>
              <w:rPr>
                <w:rFonts w:ascii="Gill Sans" w:hAnsi="Gill Sans"/>
              </w:rPr>
              <w:t xml:space="preserve">2025 </w:t>
            </w:r>
            <w:r>
              <w:rPr>
                <w:rFonts w:ascii="Gill Sans" w:hAnsi="Gill Sans"/>
              </w:rPr>
              <w:t>году в нежилых зданиях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а с </w:t>
            </w:r>
            <w:r>
              <w:rPr>
                <w:rFonts w:ascii="Gill Sans" w:hAnsi="Gill Sans"/>
              </w:rPr>
              <w:t xml:space="preserve">2027 </w:t>
            </w:r>
            <w:r>
              <w:rPr>
                <w:rFonts w:ascii="Gill Sans" w:hAnsi="Gill Sans"/>
              </w:rPr>
              <w:t xml:space="preserve">года </w:t>
            </w:r>
            <w:r>
              <w:rPr>
                <w:rFonts w:ascii="Gill Sans" w:hAnsi="Gill Sans"/>
              </w:rPr>
              <w:t xml:space="preserve">- </w:t>
            </w:r>
            <w:r>
              <w:rPr>
                <w:rFonts w:ascii="Gill Sans" w:hAnsi="Gill Sans"/>
              </w:rPr>
              <w:t>в жилых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Таким образом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в ближайшем будущем в каждом доме Российской Федерации будет установлен умный счётчик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исходя из этого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потенциальными потребителями являются все граждане Российской Федерации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На </w:t>
            </w:r>
            <w:r>
              <w:rPr>
                <w:rFonts w:ascii="Gill Sans" w:hAnsi="Gill Sans"/>
              </w:rPr>
              <w:t xml:space="preserve">2022 </w:t>
            </w:r>
            <w:r>
              <w:rPr>
                <w:rFonts w:ascii="Gill Sans" w:hAnsi="Gill Sans"/>
              </w:rPr>
              <w:t xml:space="preserve">год число умных счётчиков в жилых квартирах и домах составляет </w:t>
            </w:r>
            <w:r>
              <w:rPr>
                <w:rFonts w:ascii="Gill Sans" w:hAnsi="Gill Sans"/>
              </w:rPr>
              <w:t xml:space="preserve">5,7 </w:t>
            </w:r>
            <w:r>
              <w:rPr>
                <w:rFonts w:ascii="Gill Sans" w:hAnsi="Gill Sans"/>
              </w:rPr>
              <w:t>млн единиц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На момент окончания реализации приложения их число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по прогнозам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будет составлять около </w:t>
            </w:r>
            <w:r>
              <w:rPr>
                <w:rFonts w:ascii="Gill Sans" w:hAnsi="Gill Sans"/>
              </w:rPr>
              <w:t xml:space="preserve">40 </w:t>
            </w:r>
            <w:r>
              <w:rPr>
                <w:rFonts w:ascii="Gill Sans" w:hAnsi="Gill Sans"/>
              </w:rPr>
              <w:t xml:space="preserve">млн </w:t>
            </w:r>
            <w:r>
              <w:rPr>
                <w:rFonts w:ascii="Gill Sans" w:hAnsi="Gill Sans"/>
              </w:rPr>
              <w:t>единиц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Предположим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что предложением заинтересуется </w:t>
            </w:r>
            <w:r>
              <w:rPr>
                <w:rFonts w:ascii="Gill Sans" w:hAnsi="Gill Sans"/>
              </w:rPr>
              <w:t xml:space="preserve">2% </w:t>
            </w:r>
            <w:r>
              <w:rPr>
                <w:rFonts w:ascii="Gill Sans" w:hAnsi="Gill Sans"/>
              </w:rPr>
              <w:t>от общего числа населения с умными счётчиками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что составить </w:t>
            </w:r>
            <w:r>
              <w:rPr>
                <w:rFonts w:ascii="Gill Sans" w:hAnsi="Gill Sans"/>
              </w:rPr>
              <w:t xml:space="preserve">800 </w:t>
            </w:r>
            <w:r>
              <w:rPr>
                <w:rFonts w:ascii="Gill Sans" w:hAnsi="Gill Sans"/>
              </w:rPr>
              <w:t>тыс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держателей квартир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домов с умными счётчиками</w:t>
            </w:r>
            <w:r>
              <w:rPr>
                <w:rFonts w:ascii="Gill Sans" w:hAnsi="Gill Sans"/>
              </w:rPr>
              <w:t xml:space="preserve">. 10% </w:t>
            </w:r>
            <w:r>
              <w:rPr>
                <w:rFonts w:ascii="Gill Sans" w:hAnsi="Gill Sans"/>
              </w:rPr>
              <w:t>заинтересуются в платной подписке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так как основные функции приложения — платные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Общее число пользователей с подписками составит </w:t>
            </w:r>
            <w:r>
              <w:rPr>
                <w:rFonts w:ascii="Gill Sans" w:hAnsi="Gill Sans"/>
              </w:rPr>
              <w:t xml:space="preserve">80 </w:t>
            </w:r>
            <w:r>
              <w:rPr>
                <w:rFonts w:ascii="Gill Sans" w:hAnsi="Gill Sans"/>
              </w:rPr>
              <w:t>тыс человек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>Таким образом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по минимальным подсчётам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 xml:space="preserve">в месяца приложение будет приносить </w:t>
            </w:r>
            <w:r>
              <w:rPr>
                <w:rFonts w:ascii="Gill Sans" w:hAnsi="Gill Sans"/>
              </w:rPr>
              <w:t xml:space="preserve">15,92 </w:t>
            </w:r>
            <w:r>
              <w:rPr>
                <w:rFonts w:ascii="Gill Sans" w:hAnsi="Gill Sans"/>
              </w:rPr>
              <w:t>млн рублей</w:t>
            </w:r>
            <w:r>
              <w:rPr>
                <w:rFonts w:ascii="Gill Sans" w:hAnsi="Gill Sans"/>
              </w:rPr>
              <w:t xml:space="preserve">. </w:t>
            </w:r>
            <w:r>
              <w:rPr>
                <w:rFonts w:ascii="Gill Sans" w:hAnsi="Gill Sans"/>
              </w:rPr>
              <w:t xml:space="preserve">Приложение окупится спустя </w:t>
            </w:r>
            <w:r>
              <w:rPr>
                <w:rFonts w:ascii="Gill Sans" w:hAnsi="Gill Sans"/>
              </w:rPr>
              <w:t xml:space="preserve">2 </w:t>
            </w:r>
            <w:r>
              <w:rPr>
                <w:rFonts w:ascii="Gill Sans" w:hAnsi="Gill Sans"/>
              </w:rPr>
              <w:t>месяца при условии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что прогнозы верны</w:t>
            </w:r>
          </w:p>
        </w:tc>
      </w:tr>
    </w:tbl>
    <w:p w14:paraId="0DEF9F84" w14:textId="77777777" w:rsidR="003941D0" w:rsidRDefault="003941D0">
      <w:pPr>
        <w:pStyle w:val="a4"/>
      </w:pPr>
    </w:p>
    <w:tbl>
      <w:tblPr>
        <w:tblStyle w:val="TableNormal"/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3569"/>
        <w:gridCol w:w="1867"/>
        <w:gridCol w:w="1867"/>
        <w:gridCol w:w="1869"/>
      </w:tblGrid>
      <w:tr w:rsidR="003941D0" w14:paraId="339E5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532F" w14:textId="77777777" w:rsidR="003941D0" w:rsidRDefault="003941D0"/>
        </w:tc>
        <w:tc>
          <w:tcPr>
            <w:tcW w:w="9186" w:type="dxa"/>
            <w:gridSpan w:val="4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0FCF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3. </w:t>
            </w:r>
            <w:r>
              <w:rPr>
                <w:rFonts w:ascii="Gill Sans" w:hAnsi="Gill Sans"/>
              </w:rPr>
              <w:t>Календарный план стартап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проекта</w:t>
            </w:r>
          </w:p>
        </w:tc>
      </w:tr>
      <w:tr w:rsidR="003941D0" w14:paraId="26C87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auto"/>
          </w:tcPr>
          <w:p w14:paraId="5D142BEA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91B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Название календарного плана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EDED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Длительность этапа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мес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6BC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Стоимость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руб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870" w:type="dxa"/>
            <w:vMerge w:val="restart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5A21" w14:textId="77777777" w:rsidR="003941D0" w:rsidRDefault="003941D0"/>
        </w:tc>
      </w:tr>
      <w:tr w:rsidR="003941D0" w14:paraId="4021F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auto"/>
          </w:tcPr>
          <w:p w14:paraId="74876013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9EA9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Разработка бизнес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плана и планирование основных работ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6048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8E69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870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5ED22D55" w14:textId="77777777" w:rsidR="003941D0" w:rsidRDefault="003941D0"/>
        </w:tc>
      </w:tr>
      <w:tr w:rsidR="003941D0" w14:paraId="24735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auto"/>
          </w:tcPr>
          <w:p w14:paraId="714993C3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9B2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Проведение исследований и оценка текущих ресурсов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C03A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315B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65000</w:t>
            </w:r>
          </w:p>
        </w:tc>
        <w:tc>
          <w:tcPr>
            <w:tcW w:w="1870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60046A6A" w14:textId="77777777" w:rsidR="003941D0" w:rsidRDefault="003941D0"/>
        </w:tc>
      </w:tr>
      <w:tr w:rsidR="003941D0" w14:paraId="150C7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auto"/>
          </w:tcPr>
          <w:p w14:paraId="77BDC4E0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BEF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Разработка </w:t>
            </w:r>
            <w:r>
              <w:rPr>
                <w:rFonts w:ascii="Gill Sans" w:hAnsi="Gill Sans"/>
              </w:rPr>
              <w:t>KPI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9BE5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6B92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870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14A18F8A" w14:textId="77777777" w:rsidR="003941D0" w:rsidRDefault="003941D0"/>
        </w:tc>
      </w:tr>
      <w:tr w:rsidR="003941D0" w14:paraId="6CBB0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auto"/>
          </w:tcPr>
          <w:p w14:paraId="193B66A0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C90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Консультация со специалистами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5D78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9537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5000</w:t>
            </w:r>
          </w:p>
        </w:tc>
        <w:tc>
          <w:tcPr>
            <w:tcW w:w="1870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615749E7" w14:textId="77777777" w:rsidR="003941D0" w:rsidRDefault="003941D0"/>
        </w:tc>
      </w:tr>
      <w:tr w:rsidR="003941D0" w14:paraId="2C377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67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82D4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D601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Составление календарного графика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определение бюджета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составление документации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E025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C7FA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11000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A82D" w14:textId="77777777" w:rsidR="003941D0" w:rsidRDefault="003941D0"/>
        </w:tc>
      </w:tr>
      <w:tr w:rsidR="003941D0" w14:paraId="4DDEE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7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9D4E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9FC3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Разработка приложения и его тестировка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E14B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D1D7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4287600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58A" w14:textId="77777777" w:rsidR="003941D0" w:rsidRDefault="003941D0"/>
        </w:tc>
      </w:tr>
      <w:tr w:rsidR="003941D0" w14:paraId="277AA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A05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F175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Выпуск на рынок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0838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29B4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90000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C4AB" w14:textId="77777777" w:rsidR="003941D0" w:rsidRDefault="003941D0"/>
        </w:tc>
      </w:tr>
      <w:tr w:rsidR="003941D0" w14:paraId="3570A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6C0D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EE6A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Маркетинговая кампания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1B1E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3A19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17000000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8FA5" w14:textId="77777777" w:rsidR="003941D0" w:rsidRDefault="003941D0"/>
        </w:tc>
      </w:tr>
      <w:tr w:rsidR="003941D0" w14:paraId="30D4A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6C1F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A82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Итого</w:t>
            </w:r>
            <w:r>
              <w:rPr>
                <w:rFonts w:ascii="Gill Sans" w:hAnsi="Gill Sans"/>
              </w:rPr>
              <w:t>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66D7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FFF3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21458600</w:t>
            </w:r>
          </w:p>
        </w:tc>
        <w:tc>
          <w:tcPr>
            <w:tcW w:w="1870" w:type="dxa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EFCE" w14:textId="77777777" w:rsidR="003941D0" w:rsidRDefault="003941D0"/>
        </w:tc>
      </w:tr>
      <w:tr w:rsidR="003941D0" w14:paraId="37F0D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353" w:type="dxa"/>
            <w:gridSpan w:val="5"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04B0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Итого</w:t>
            </w:r>
            <w:r>
              <w:rPr>
                <w:rFonts w:ascii="Gill Sans" w:hAnsi="Gill Sans"/>
              </w:rPr>
              <w:t xml:space="preserve">:  21 458 600 </w:t>
            </w:r>
            <w:r>
              <w:rPr>
                <w:rFonts w:ascii="Gill Sans" w:hAnsi="Gill Sans"/>
              </w:rPr>
              <w:t>руб</w:t>
            </w:r>
          </w:p>
        </w:tc>
      </w:tr>
    </w:tbl>
    <w:p w14:paraId="2C7A6117" w14:textId="77777777" w:rsidR="003941D0" w:rsidRDefault="003941D0">
      <w:pPr>
        <w:pStyle w:val="a4"/>
      </w:pPr>
    </w:p>
    <w:tbl>
      <w:tblPr>
        <w:tblStyle w:val="TableNormal"/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568"/>
        <w:gridCol w:w="2271"/>
        <w:gridCol w:w="2352"/>
        <w:gridCol w:w="982"/>
      </w:tblGrid>
      <w:tr w:rsidR="003941D0" w14:paraId="7BAE2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6C7F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4. </w:t>
            </w:r>
            <w:r>
              <w:rPr>
                <w:rFonts w:ascii="Gill Sans" w:hAnsi="Gill Sans"/>
              </w:rPr>
              <w:t xml:space="preserve">Предполагаемая структура уставного капитала компании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в рамках стартап</w:t>
            </w:r>
            <w:r>
              <w:rPr>
                <w:rFonts w:ascii="Gill Sans" w:hAnsi="Gill Sans"/>
              </w:rPr>
              <w:t xml:space="preserve">- </w:t>
            </w:r>
            <w:r>
              <w:rPr>
                <w:rFonts w:ascii="Gill Sans" w:hAnsi="Gill Sans"/>
              </w:rPr>
              <w:t>проекта</w:t>
            </w:r>
            <w:r>
              <w:rPr>
                <w:rFonts w:ascii="Gill Sans" w:hAnsi="Gill Sans"/>
              </w:rPr>
              <w:t>)</w:t>
            </w:r>
          </w:p>
        </w:tc>
      </w:tr>
      <w:tr w:rsidR="003941D0" w14:paraId="4C2D7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7" w:type="dxa"/>
            <w:vMerge w:val="restart"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C315" w14:textId="77777777" w:rsidR="003941D0" w:rsidRDefault="003941D0"/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DBD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Участники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1F5" w14:textId="77777777" w:rsidR="003941D0" w:rsidRDefault="003941D0"/>
        </w:tc>
        <w:tc>
          <w:tcPr>
            <w:tcW w:w="982" w:type="dxa"/>
            <w:vMerge w:val="restart"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515F" w14:textId="77777777" w:rsidR="003941D0" w:rsidRDefault="003941D0"/>
        </w:tc>
      </w:tr>
      <w:tr w:rsidR="003941D0" w14:paraId="5FF12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07B91505" w14:textId="77777777" w:rsidR="003941D0" w:rsidRDefault="003941D0"/>
        </w:tc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626813C4" w14:textId="77777777" w:rsidR="003941D0" w:rsidRDefault="003941D0"/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3D3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Размер доли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руб</w:t>
            </w:r>
            <w:r>
              <w:rPr>
                <w:rFonts w:ascii="Gill Sans" w:hAnsi="Gill Sans"/>
              </w:rPr>
              <w:t>.)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F588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%</w:t>
            </w:r>
          </w:p>
        </w:tc>
        <w:tc>
          <w:tcPr>
            <w:tcW w:w="982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38CB07A5" w14:textId="77777777" w:rsidR="003941D0" w:rsidRDefault="003941D0"/>
        </w:tc>
      </w:tr>
      <w:tr w:rsidR="003941D0" w14:paraId="3744C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67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41CBFE18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B27D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Абдулаева А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Т</w:t>
            </w:r>
            <w:r>
              <w:rPr>
                <w:rFonts w:ascii="Gill Sans" w:hAnsi="Gill Sans"/>
              </w:rPr>
              <w:t>.</w:t>
            </w:r>
          </w:p>
          <w:p w14:paraId="25CF4219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Аскарова А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И</w:t>
            </w:r>
            <w:r>
              <w:rPr>
                <w:rFonts w:ascii="Gill Sans" w:hAnsi="Gill Sans"/>
              </w:rPr>
              <w:t>.</w:t>
            </w:r>
          </w:p>
          <w:p w14:paraId="1B278703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Белобрицкая А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Д</w:t>
            </w:r>
            <w:r>
              <w:rPr>
                <w:rFonts w:ascii="Gill Sans" w:hAnsi="Gill Sans"/>
              </w:rPr>
              <w:t>.</w:t>
            </w:r>
          </w:p>
          <w:p w14:paraId="56732DF8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Бычкова А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Г</w:t>
            </w:r>
            <w:r>
              <w:rPr>
                <w:rFonts w:ascii="Gill Sans" w:hAnsi="Gill Sans"/>
              </w:rPr>
              <w:t>.</w:t>
            </w:r>
          </w:p>
          <w:p w14:paraId="1BB75F8F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Нестерова М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А</w:t>
            </w:r>
            <w:r>
              <w:rPr>
                <w:rFonts w:ascii="Gill Sans" w:hAnsi="Gill Sans"/>
              </w:rPr>
              <w:t>.</w:t>
            </w:r>
          </w:p>
          <w:p w14:paraId="64D9A9F8" w14:textId="77777777" w:rsidR="003941D0" w:rsidRDefault="003D1789">
            <w:pPr>
              <w:pStyle w:val="2"/>
              <w:numPr>
                <w:ilvl w:val="0"/>
                <w:numId w:val="5"/>
              </w:num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Титченкова П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А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71B4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1600</w:t>
            </w:r>
          </w:p>
          <w:p w14:paraId="61C8BB5D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1600</w:t>
            </w:r>
          </w:p>
          <w:p w14:paraId="6CC8C8BB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1600</w:t>
            </w:r>
          </w:p>
          <w:p w14:paraId="6DC9A7FD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1600</w:t>
            </w:r>
          </w:p>
          <w:p w14:paraId="6C3E9110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2000</w:t>
            </w:r>
          </w:p>
          <w:p w14:paraId="37501244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937F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</w:t>
            </w:r>
          </w:p>
          <w:p w14:paraId="56FC2BFA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</w:t>
            </w:r>
          </w:p>
          <w:p w14:paraId="2330028B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</w:t>
            </w:r>
          </w:p>
          <w:p w14:paraId="03DE577B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</w:t>
            </w:r>
          </w:p>
          <w:p w14:paraId="03CEBA04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20</w:t>
            </w:r>
          </w:p>
          <w:p w14:paraId="2CC2E500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16</w:t>
            </w:r>
          </w:p>
        </w:tc>
        <w:tc>
          <w:tcPr>
            <w:tcW w:w="982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4BD7F7A8" w14:textId="77777777" w:rsidR="003941D0" w:rsidRDefault="003941D0"/>
        </w:tc>
      </w:tr>
      <w:tr w:rsidR="003941D0" w14:paraId="08D47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</w:tcPr>
          <w:p w14:paraId="6574E6AC" w14:textId="77777777" w:rsidR="003941D0" w:rsidRDefault="003941D0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35E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Размер уставного капитала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4AC3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10000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FA00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100</w:t>
            </w:r>
          </w:p>
        </w:tc>
        <w:tc>
          <w:tcPr>
            <w:tcW w:w="982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FEFFFE"/>
              <w:right w:val="single" w:sz="4" w:space="0" w:color="000000"/>
            </w:tcBorders>
            <w:shd w:val="clear" w:color="auto" w:fill="FEFFFE"/>
          </w:tcPr>
          <w:p w14:paraId="7DAD9FB2" w14:textId="77777777" w:rsidR="003941D0" w:rsidRDefault="003941D0"/>
        </w:tc>
      </w:tr>
      <w:tr w:rsidR="003941D0" w14:paraId="77D8D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67" w:type="dxa"/>
            <w:vMerge/>
            <w:tcBorders>
              <w:top w:val="single" w:sz="4" w:space="0" w:color="FEFFFE"/>
              <w:left w:val="single" w:sz="4" w:space="0" w:color="000000"/>
              <w:bottom w:val="single" w:sz="4" w:space="0" w:color="000000"/>
              <w:right w:val="single" w:sz="4" w:space="0" w:color="FEFFFE"/>
            </w:tcBorders>
            <w:shd w:val="clear" w:color="auto" w:fill="FEFFFE"/>
          </w:tcPr>
          <w:p w14:paraId="5AE83165" w14:textId="77777777" w:rsidR="003941D0" w:rsidRDefault="003941D0"/>
        </w:tc>
        <w:tc>
          <w:tcPr>
            <w:tcW w:w="9186" w:type="dxa"/>
            <w:gridSpan w:val="4"/>
            <w:tcBorders>
              <w:top w:val="single" w:sz="4" w:space="0" w:color="000000"/>
              <w:left w:val="single" w:sz="4" w:space="0" w:color="FEFFFE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CDF4" w14:textId="77777777" w:rsidR="003941D0" w:rsidRDefault="003941D0"/>
        </w:tc>
      </w:tr>
    </w:tbl>
    <w:p w14:paraId="53C19834" w14:textId="77777777" w:rsidR="003941D0" w:rsidRDefault="003941D0">
      <w:pPr>
        <w:pStyle w:val="a4"/>
      </w:pPr>
    </w:p>
    <w:tbl>
      <w:tblPr>
        <w:tblStyle w:val="TableNormal"/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621"/>
        <w:gridCol w:w="1363"/>
        <w:gridCol w:w="3782"/>
        <w:gridCol w:w="1200"/>
      </w:tblGrid>
      <w:tr w:rsidR="003941D0" w14:paraId="1BCB3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E738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5. </w:t>
            </w:r>
            <w:r>
              <w:rPr>
                <w:rFonts w:ascii="Gill Sans" w:hAnsi="Gill Sans"/>
              </w:rPr>
              <w:t xml:space="preserve">Команда стартап проекта </w:t>
            </w:r>
          </w:p>
        </w:tc>
      </w:tr>
      <w:tr w:rsidR="003941D0" w14:paraId="2B8A8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D364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Ф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И</w:t>
            </w:r>
            <w:r>
              <w:rPr>
                <w:rFonts w:ascii="Gill Sans" w:hAnsi="Gill Sans"/>
              </w:rPr>
              <w:t>.</w:t>
            </w:r>
            <w:r>
              <w:rPr>
                <w:rFonts w:ascii="Gill Sans" w:hAnsi="Gill Sans"/>
              </w:rPr>
              <w:t>О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7FA4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 xml:space="preserve">Должность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роль</w:t>
            </w:r>
            <w:r>
              <w:rPr>
                <w:rFonts w:ascii="Gill Sans" w:hAnsi="Gill Sans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8807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Контакты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3908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Выполняемые работы в проекте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9C22" w14:textId="77777777" w:rsidR="003941D0" w:rsidRDefault="003D1789">
            <w:pPr>
              <w:pStyle w:val="2"/>
              <w:jc w:val="center"/>
            </w:pPr>
            <w:r>
              <w:rPr>
                <w:rFonts w:ascii="Gill Sans" w:hAnsi="Gill Sans"/>
              </w:rPr>
              <w:t>Образование</w:t>
            </w:r>
            <w:r>
              <w:rPr>
                <w:rFonts w:ascii="Gill Sans" w:hAnsi="Gill Sans"/>
              </w:rPr>
              <w:t>/</w:t>
            </w:r>
            <w:r>
              <w:rPr>
                <w:rFonts w:ascii="Gill Sans" w:hAnsi="Gill Sans"/>
              </w:rPr>
              <w:t>опыт работы</w:t>
            </w:r>
          </w:p>
        </w:tc>
      </w:tr>
      <w:tr w:rsidR="003941D0" w14:paraId="72DCE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09B9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Абдуллаева Амина Тельмановна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F68A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Менеджер проекта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018D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89636556037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238A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Сбор требований к проекту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согласование бюджета и управление им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дробление проекта на мелкие задачи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ведение проектной док</w:t>
            </w:r>
            <w:r>
              <w:rPr>
                <w:rFonts w:ascii="Gill Sans" w:hAnsi="Gill Sans"/>
              </w:rPr>
              <w:t>ументации совместно с координатором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помощь руководителю проекта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2A2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357D8C15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Бакалавриат </w:t>
            </w:r>
          </w:p>
          <w:p w14:paraId="2C73D5C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  <w:tr w:rsidR="003941D0" w14:paraId="46481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0668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Аскарова Альфина Ильдаровна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759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Руководитель группы разработки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B37E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89068366025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D01A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Контроль и организация работы разработчиков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 xml:space="preserve">приём технических заданий </w:t>
            </w:r>
            <w:r>
              <w:rPr>
                <w:rFonts w:ascii="Gill Sans" w:hAnsi="Gill Sans"/>
              </w:rPr>
              <w:t>(</w:t>
            </w:r>
            <w:r>
              <w:rPr>
                <w:rFonts w:ascii="Gill Sans" w:hAnsi="Gill Sans"/>
              </w:rPr>
              <w:t>далее ТЗ</w:t>
            </w:r>
            <w:r>
              <w:rPr>
                <w:rFonts w:ascii="Gill Sans" w:hAnsi="Gill Sans"/>
              </w:rPr>
              <w:t xml:space="preserve">) </w:t>
            </w:r>
            <w:r>
              <w:rPr>
                <w:rFonts w:ascii="Gill Sans" w:hAnsi="Gill Sans"/>
              </w:rPr>
              <w:t xml:space="preserve">на платформе </w:t>
            </w:r>
            <w:r>
              <w:rPr>
                <w:rFonts w:ascii="Gill Sans" w:hAnsi="Gill Sans"/>
              </w:rPr>
              <w:t>1</w:t>
            </w:r>
            <w:r>
              <w:rPr>
                <w:rFonts w:ascii="Gill Sans" w:hAnsi="Gill Sans"/>
              </w:rPr>
              <w:t>С от аналитика и передача ТЗ разработ</w:t>
            </w:r>
            <w:r>
              <w:rPr>
                <w:rFonts w:ascii="Gill Sans" w:hAnsi="Gill Sans"/>
              </w:rPr>
              <w:t>чикам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согласование процедуры тестирования приложения с аналитиком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сдача приложения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соответствующего ТЗ и протестированного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аналитику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 xml:space="preserve">контроль качества выполнения ТЗ разработчиками на платформе </w:t>
            </w:r>
            <w:r>
              <w:rPr>
                <w:rFonts w:ascii="Gill Sans" w:hAnsi="Gill Sans"/>
              </w:rPr>
              <w:t>1</w:t>
            </w:r>
            <w:r>
              <w:rPr>
                <w:rFonts w:ascii="Gill Sans" w:hAnsi="Gill Sans"/>
              </w:rPr>
              <w:t>С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 xml:space="preserve">обновление нетиповых конфигураций </w:t>
            </w:r>
            <w:r>
              <w:rPr>
                <w:rFonts w:ascii="Gill Sans" w:hAnsi="Gill Sans"/>
              </w:rPr>
              <w:t>1</w:t>
            </w:r>
            <w:r>
              <w:rPr>
                <w:rFonts w:ascii="Gill Sans" w:hAnsi="Gill Sans"/>
              </w:rPr>
              <w:t>С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выполнение ТЗ на</w:t>
            </w:r>
            <w:r>
              <w:rPr>
                <w:rFonts w:ascii="Gill Sans" w:hAnsi="Gill Sans"/>
              </w:rPr>
              <w:t xml:space="preserve"> платформе </w:t>
            </w:r>
            <w:r>
              <w:rPr>
                <w:rFonts w:ascii="Gill Sans" w:hAnsi="Gill Sans"/>
              </w:rPr>
              <w:t>1</w:t>
            </w:r>
            <w:r>
              <w:rPr>
                <w:rFonts w:ascii="Gill Sans" w:hAnsi="Gill Sans"/>
              </w:rPr>
              <w:t>С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3B81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72279755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Бакалавриат</w:t>
            </w:r>
          </w:p>
          <w:p w14:paraId="73E57F0D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  <w:tr w:rsidR="003941D0" w14:paraId="01C21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2ED3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Белобрицкая Анна Дмитриевна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420C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Аналитик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A7B0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89651142672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0958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Согласование ТЗ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анализ способности проектной команды выполнить все требования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передача ТЗ разработчику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приём релиза приложения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со</w:t>
            </w:r>
            <w:r>
              <w:rPr>
                <w:rFonts w:ascii="Gill Sans" w:hAnsi="Gill Sans"/>
              </w:rPr>
              <w:t>ответствующего ТЗ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у разработчика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перевод в эксплуатацию релиза приложения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проведение аудита эффективности релиза приложения по итогам проведённой эксплуатации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проработка и согласование промежуточных итогов проекта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38E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6084D2A2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Бакалавриат</w:t>
            </w:r>
          </w:p>
          <w:p w14:paraId="6291785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  <w:tr w:rsidR="003941D0" w14:paraId="3220B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BF3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lastRenderedPageBreak/>
              <w:t>Бычкова Анна Геннадьевна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9A66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Маркетолог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029D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89639667885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066B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Разработка и запуск маркетинговой активности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систематизация и анализ данных об эффек</w:t>
            </w:r>
            <w:r>
              <w:rPr>
                <w:rFonts w:ascii="Gill Sans" w:hAnsi="Gill Sans"/>
              </w:rPr>
              <w:t>тивности рекламы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составление портрета потребителя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анализ рынка и конкурентов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поиск точек роста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создание контент</w:t>
            </w:r>
            <w:r>
              <w:rPr>
                <w:rFonts w:ascii="Gill Sans" w:hAnsi="Gill Sans"/>
              </w:rPr>
              <w:t>-</w:t>
            </w:r>
            <w:r>
              <w:rPr>
                <w:rFonts w:ascii="Gill Sans" w:hAnsi="Gill Sans"/>
              </w:rPr>
              <w:t>плана и стратегии продвижения контента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859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6CD61A98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Бакалавриат</w:t>
            </w:r>
          </w:p>
          <w:p w14:paraId="6CC73A9E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  <w:tr w:rsidR="003941D0" w14:paraId="4B4AD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DCDE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Нестерова Мария Артемовна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07B8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Руководитель проекта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D3DD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89167194467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C410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Совместно с аналитиком анализ способности команды реализовать проект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оценка рентабельности проекта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принятие решения об участии в пр</w:t>
            </w:r>
            <w:r>
              <w:rPr>
                <w:rFonts w:ascii="Gill Sans" w:hAnsi="Gill Sans"/>
              </w:rPr>
              <w:t>оекте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составление и согласование договора на выполнение работ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формирование проектной команды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составление и согласование устава проекта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подготовка и согласование детального плана выполнения работ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контроль своевременного исполнения задач плана проекта ч</w:t>
            </w:r>
            <w:r>
              <w:rPr>
                <w:rFonts w:ascii="Gill Sans" w:hAnsi="Gill Sans"/>
              </w:rPr>
              <w:t>ленами команды проекта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контроль соблюдения утверждённых норм рентабельности проекта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808B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37760919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Бакалавриат</w:t>
            </w:r>
          </w:p>
          <w:p w14:paraId="4647CB30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  <w:tr w:rsidR="003941D0" w14:paraId="17BF6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9E82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Титченкова Полина Алексеевна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9E85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Координатор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1E1F" w14:textId="77777777" w:rsidR="003941D0" w:rsidRDefault="003D1789">
            <w:pPr>
              <w:jc w:val="right"/>
            </w:pPr>
            <w:r>
              <w:rPr>
                <w:rFonts w:ascii="Gill Sans" w:hAnsi="Gill Sans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89636645540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61E1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Ведение переговоров со смежными структурами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сбор и обработка</w:t>
            </w:r>
          </w:p>
          <w:p w14:paraId="167FCDAE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информации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ведение документации</w:t>
            </w:r>
            <w:r>
              <w:rPr>
                <w:rFonts w:ascii="Gill Sans" w:hAnsi="Gill Sans"/>
              </w:rPr>
              <w:t xml:space="preserve">; </w:t>
            </w:r>
            <w:r>
              <w:rPr>
                <w:rFonts w:ascii="Gill Sans" w:hAnsi="Gill Sans"/>
              </w:rPr>
              <w:t>проверка регламентов</w:t>
            </w:r>
            <w:r>
              <w:rPr>
                <w:rFonts w:ascii="Gill Sans" w:hAnsi="Gill Sans"/>
              </w:rPr>
              <w:t xml:space="preserve">, </w:t>
            </w:r>
            <w:r>
              <w:rPr>
                <w:rFonts w:ascii="Gill Sans" w:hAnsi="Gill Sans"/>
              </w:rPr>
              <w:t>инструкций и их</w:t>
            </w:r>
            <w:r>
              <w:rPr>
                <w:rFonts w:ascii="Gill Sans" w:hAnsi="Gill Sans"/>
              </w:rPr>
              <w:t xml:space="preserve"> обновление</w:t>
            </w:r>
            <w:r>
              <w:rPr>
                <w:rFonts w:ascii="Gill Sans" w:hAnsi="Gill Sans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56FD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 xml:space="preserve">ГУУ </w:t>
            </w:r>
          </w:p>
          <w:p w14:paraId="34D00C64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Бакалавриат</w:t>
            </w:r>
          </w:p>
          <w:p w14:paraId="2C78220F" w14:textId="77777777" w:rsidR="003941D0" w:rsidRDefault="003D1789">
            <w:pPr>
              <w:pStyle w:val="2"/>
            </w:pPr>
            <w:r>
              <w:rPr>
                <w:rFonts w:ascii="Gill Sans" w:hAnsi="Gill Sans"/>
              </w:rPr>
              <w:t>Маркетинг</w:t>
            </w:r>
          </w:p>
        </w:tc>
      </w:tr>
    </w:tbl>
    <w:p w14:paraId="252FC125" w14:textId="77777777" w:rsidR="003941D0" w:rsidRDefault="003941D0">
      <w:pPr>
        <w:pStyle w:val="a4"/>
      </w:pPr>
    </w:p>
    <w:p w14:paraId="341172D9" w14:textId="77777777" w:rsidR="003941D0" w:rsidRDefault="003941D0">
      <w:pPr>
        <w:pStyle w:val="a4"/>
      </w:pPr>
    </w:p>
    <w:p w14:paraId="1C6FB079" w14:textId="77777777" w:rsidR="003941D0" w:rsidRDefault="003941D0">
      <w:pPr>
        <w:pStyle w:val="a4"/>
      </w:pPr>
    </w:p>
    <w:p w14:paraId="03D1C9EF" w14:textId="77777777" w:rsidR="003941D0" w:rsidRDefault="003941D0">
      <w:pPr>
        <w:pStyle w:val="a4"/>
      </w:pPr>
    </w:p>
    <w:p w14:paraId="223C7D3D" w14:textId="77777777" w:rsidR="003941D0" w:rsidRDefault="003941D0">
      <w:pPr>
        <w:pStyle w:val="a4"/>
      </w:pPr>
    </w:p>
    <w:sectPr w:rsidR="003941D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6939" w14:textId="77777777" w:rsidR="00000000" w:rsidRDefault="003D1789">
      <w:r>
        <w:separator/>
      </w:r>
    </w:p>
  </w:endnote>
  <w:endnote w:type="continuationSeparator" w:id="0">
    <w:p w14:paraId="2341EBC5" w14:textId="77777777" w:rsidR="00000000" w:rsidRDefault="003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ill Sans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6C5F" w14:textId="77777777" w:rsidR="003941D0" w:rsidRDefault="003941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5578" w14:textId="77777777" w:rsidR="00000000" w:rsidRDefault="003D1789">
      <w:r>
        <w:separator/>
      </w:r>
    </w:p>
  </w:footnote>
  <w:footnote w:type="continuationSeparator" w:id="0">
    <w:p w14:paraId="0018A176" w14:textId="77777777" w:rsidR="00000000" w:rsidRDefault="003D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C68A" w14:textId="77777777" w:rsidR="003941D0" w:rsidRDefault="003941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888"/>
    <w:multiLevelType w:val="hybridMultilevel"/>
    <w:tmpl w:val="89CE2E3E"/>
    <w:lvl w:ilvl="0" w:tplc="51C0CB9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E5A6D9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1C6A8EC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EAC8F8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9D21E2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6FAE61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6C69AD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EEFE198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7F2D6E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0F64155E"/>
    <w:multiLevelType w:val="hybridMultilevel"/>
    <w:tmpl w:val="E50A4B24"/>
    <w:lvl w:ilvl="0" w:tplc="2482F16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0203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8EC3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E819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C267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206B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8DA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6BB0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09EE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3B19E1"/>
    <w:multiLevelType w:val="hybridMultilevel"/>
    <w:tmpl w:val="00E46F42"/>
    <w:lvl w:ilvl="0" w:tplc="A17A44F8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1285370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64A4190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B680E7A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CEB4809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8DEAF11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090239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E7566EF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FF066F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447E5E96"/>
    <w:multiLevelType w:val="hybridMultilevel"/>
    <w:tmpl w:val="E782098C"/>
    <w:lvl w:ilvl="0" w:tplc="A2B46E8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EF802B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35427D9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D821C3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304AD7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1301EE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95C832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08E3FE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D882B396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5D1A7AA0"/>
    <w:multiLevelType w:val="hybridMultilevel"/>
    <w:tmpl w:val="4DF8A7BE"/>
    <w:lvl w:ilvl="0" w:tplc="A3F80DB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C01C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AD09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C297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2A7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5C1CEE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C4E8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E103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F26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0664892">
    <w:abstractNumId w:val="4"/>
  </w:num>
  <w:num w:numId="2" w16cid:durableId="217254009">
    <w:abstractNumId w:val="0"/>
  </w:num>
  <w:num w:numId="3" w16cid:durableId="519243737">
    <w:abstractNumId w:val="2"/>
  </w:num>
  <w:num w:numId="4" w16cid:durableId="430509170">
    <w:abstractNumId w:val="3"/>
  </w:num>
  <w:num w:numId="5" w16cid:durableId="132358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0"/>
    <w:rsid w:val="003941D0"/>
    <w:rsid w:val="003D1789"/>
    <w:rsid w:val="008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C02B"/>
  <w15:docId w15:val="{D19764D5-A57D-46FF-BFA2-B7423C4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jc w:val="both"/>
    </w:pPr>
    <w:rPr>
      <w:rFonts w:ascii="Gill Sans" w:hAnsi="Gill Sans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u w:val="single"/>
    </w:rPr>
  </w:style>
  <w:style w:type="character" w:customStyle="1" w:styleId="Hyperlink0">
    <w:name w:val="Hyperlink.0"/>
    <w:basedOn w:val="a5"/>
    <w:rPr>
      <w:outline w:val="0"/>
      <w:color w:val="96D3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tanka.ru/2022/01/31/7040557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ti2035.ru/markets/energy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ea.europa.eu/help/glossary/eea-glossary/environmental-impact-of-energy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"/>
            <a:ea typeface="Gill Sans"/>
            <a:cs typeface="Gill San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Нестерова</dc:creator>
  <cp:lastModifiedBy>Мария Нестерова</cp:lastModifiedBy>
  <cp:revision>2</cp:revision>
  <dcterms:created xsi:type="dcterms:W3CDTF">2023-06-25T16:45:00Z</dcterms:created>
  <dcterms:modified xsi:type="dcterms:W3CDTF">2023-06-25T16:45:00Z</dcterms:modified>
</cp:coreProperties>
</file>