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https://pt.2035.university/project/avtosarm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10.01.2025 09:06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АвтоШарм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Создание сайта с интегрированной нейросетью для подбора автомобилей. Платформа будет помогать пользователям выбирать оптимальные автомобили, исходя из их предпочтений и бюджета.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информационных, управляющих, навигационных систем.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TechNet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Искусственный интеллект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- 1868209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- 4695445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Ильин Илья Александрович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+79211149311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akaashikeiji5@yandex.ru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1895426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5025823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Ермолаев Александр Павлович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242-33-27, er.al.pa@yandex.ru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1868227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5025800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Никонёнок Даниил Михайлович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392-56-14, +7 (911) 392-56-14, gamesplay7008@gmail.com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1887292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5025815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Колчин Юрий Олегович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692-65-77, +7 (911) 692-65-77, colchin2005@mail.ru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1895444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6088664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Багаев Владимир Александрович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(951) 753-76-77, +7 (951) 753-76-77, vladimirbagaeff@yandex.ru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1901847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6342041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Точилов Кирилл Викторович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(996) 947-07-25, +7 (996) 947-07-25, kirill.to4ilow2016@yandex.ru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Создание сайта с встроенным искусственным интеллектом для подбора автомобиля для клиента. Цели: создание этого сайта Области Ожидаемые результаты: Система предлагает решения, которые учитывают все ключевые параметры выбора — от бюджета до состояния автомобиля. Ожидаемый результат — увеличение числа клиентов за счет удобства и скорости подбора, а также снижение риска при покупке. Области применения результатов: искусственный интеллект Потенциально потребительские сегменты: B2C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Продукт: предоставление услуги подбора оптимального варианта автомобиля для потребителя в зависимости от его бюджета и пожеланий. Нейросеть будет анализировать базы автомобилей для его выбора.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Потребитель (B2C) может не обладать нужными знаниями о том, где, когда и как лучше подбирать автомобиль. При покупке автомобиля с пробегом потребитель может не обладать навыками оценки самого состояния автомобиля а также есть сложности с решением юридических вопросов.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Физические лица: Количество потенциальных потребителей( по данным вордстата) порядка 1000000 Прежде всего это интернет-порталы и специализированные сайты (66%), отзывы и рейтинги автовладельцев (46%), рекомендации друзей и знакомых (43%), а также социальные сети и форумы (17%). Официальные же каналы, такие как дилерские центры (22%), автосалоны и выставки (14%), несколько уступают по значимости. Еще один вывод из этих результатов — высокая востребованность интернет-ресурсов в процессе выбора авто. Интернет-порталы и специализированные сайты имеют большую значимость в группе до 45 лет (18-24 лет — 77%, 25-34 лет — 80%, 35-44 лет — 71%). Характеристики: Возраст: 18-45 лет. Активные пользователи интернет-платформ для поиска авто. Предпочтение: мобильность и удобство при покупке. Географический охват: платформа будет доступна по всей России, с акцентом на крупные города.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Продукт базируется на применении современных технологий искусственного интеллекта и машинного обучения. Нейросеть обучается на данных с интернет-ресурсов по продаже авто, чтобы предложить наиболее релевантные и точные рекомендации. Также проект планирует использовать Big Data для анализа потребительских предпочтений и улучшения алгоритмов поиска.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Основным источником дохода будут комиссии с сделок, совершенных через платформу, а также возможность предоставления дополнительных платных услуг, таких как проверка юридической чистоты автомобиля, оценка технического состояния, помощь с оформлением документов. Дополнительные каналы монетизации могут включать партнерские программы с дилерами и автосервисами, а также рекламу внутри платформы.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https://auto.ru/sale/autoru_podbor/?utm_source=yandex_direct&amp;amp;utm_medium=direct.do&amp;amp;utm_campaign=460_allweb_none_all_epk-perform_spb_podbor-new-car-quiz-460_113234977&amp;amp;utm_content=cid:113234977|gid:5475561653|aid:16372923340|ph:52635782811|pt:premium|pn:1|src:none|st:search|cgcid:0|dt:desktop&amp;amp;utm_term=сайт автоподбор&amp;amp;adjust_t=54anhv8_h2o9caj&amp;amp;adjust_campaign=113234977&amp;amp;adjust_adgroup=5475561653&amp;amp;tracker_limit=10000&amp;amp;adjust_ya_click_id=5363117594139164671&amp;amp;yclid=5363117594139164671 https://weoneauto.ru/services/podbor-b-u-avtomobilya/?utm_source=yandex&amp;amp;utm_medium=cpc&amp;amp;utm_campaign=69662439&amp;amp;utm_content=11568695924&amp;amp;utm_term=сайт автоподбор&amp;amp;yclid=9999875620709859327 https://chestniy-autopodbor.ru/?calltouch_tm=yd_c:106907449_gb:5409884504_ad:15888476017_ph:50754323351_st:search_pt:premium_p:3_s:none_dt:desktop_reg:25_ret:50754323351_apt:none&amp;amp;utm_medium=cpc&amp;amp;utm_source=yandex&amp;amp;utm_campaign=106907449&amp;amp;utm_content=15888476017&amp;amp;utm_term=---autotargeting&amp;amp;yclid=14895263376499539967 https://авто-подбор.рф/?ysclid=m20mwqr27181802401 https://autobrothers.pro/?yclid=14823271027187384319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Клиенты должны выбирать АвтоШарм, потому что: Платформа использует искусственный интеллект для персонализации предложений, что экономит время и минимизирует ошибки при выборе. Интеграция с сервисами юридической проверки автомобилей позволяет пользователям быть уверенными в безопасности сделки. Простота и удобство интерфейса обеспечивают лучший пользовательский опыт по сравнению с конкурентами.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АвтоШарм имеет конкурентные преимущества благодаря использованию новейших технологий ИИ, которые делают процесс подбора автомобиля более быстрым, точным и безопасным по сравнению с ручным поиском. Спрос на такие технологии растет, особенно среди молодых людей, что подтверждает потенциальную прибыльность и устойчивость проекта.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Интеграция с крупнейшими площадками по продаже авто для сбора данных. Использование Big Data для анализа автомобильного рынка и предпочтений пользователей. Обеспечение безопасных транзакций через систему проверки юридической чистоты.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«АвтоШарм» решает следующие части проблемы, с которыми сталкиваются покупатели автомобилей: Подбор автомобиля: Искусственный интеллект анализирует предпочтения клиента (бюджет, марка, модель, состояние) и предлагает оптимальные варианты автомобилей, что значительно ускоряет процесс выбора. Оценка технического состояния: Для покупателей подержанных автомобилей платформа предоставляет возможность анализа состояния авто на основе данных о пробеге, характеристиках двигателя, историй обслуживания и других технических параметров. Юридическая проверка: Сервис помогает пользователям проверить автомобиль на юридическую чистоту, включая залоги, аресты, регистрацию, наличие штрафов и другие правовые аспекты.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Держателем проблемы являются частные лица (B2C сегмент), которые планируют купить автомобиль, но сталкиваются с трудностями при его выборе, оценке состояния и проверке юридической чистоты. Основные мотивации пользователей: Экономия времени: Покупатели ищут способы быстро и удобно выбрать автомобиль, минуя долгие и сложные поиски на различных платформах. Уверенность в покупке: Клиенты хотят быть уверенными в том, что приобретаемый автомобиль находится в хорошем техническом состоянии и юридически чист. Минимизация рисков: Покупатели стремятся снизить риски, связанные с покупкой подержанного автомобиля, включая юридические и технические проблемы.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Проблема решается с помощью нейросети, которая подбирает оптимальные варианты автомобилей, анализирует их техническое состояние и проверяет юридическую чистоту. Удобный интерфейс и автоматизированные проверки делают процесс покупки быстрым и безопасным.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доработке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