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0" w:line="259" w:lineRule="auto"/>
        <w:widowControl w:val="off"/>
        <w:rPr>
          <w:rFonts w:ascii="Times New Roman" w:hAnsi="Times New Roman" w:eastAsia="Times New Roman" w:cs="Times New Roman"/>
          <w:smallCaps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smallCaps/>
          <w:color w:val="000000" w:themeColor="text1"/>
          <w:sz w:val="20"/>
          <w:szCs w:val="20"/>
        </w:rPr>
        <w:t xml:space="preserve">ФОРМА ПАСПОРТА СТАРТАП-ПРОЕКТА </w:t>
      </w:r>
      <w:r/>
    </w:p>
    <w:p>
      <w:pPr>
        <w:spacing w:after="160" w:line="259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699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>
        <w:trPr/>
        <w:tc>
          <w:tcPr>
            <w:gridSpan w:val="2"/>
            <w:tcW w:w="9740" w:type="dxa"/>
            <w:textDirection w:val="lrTb"/>
            <w:noWrap w:val="false"/>
          </w:tcPr>
          <w:p>
            <w:pPr>
              <w:ind w:left="720"/>
              <w:jc w:val="center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numPr>
                <w:ilvl w:val="0"/>
                <w:numId w:val="1"/>
              </w:numPr>
              <w:jc w:val="center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Общая информация о стартап-проекте</w:t>
            </w:r>
            <w:r/>
          </w:p>
          <w:p>
            <w:pPr>
              <w:jc w:val="center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Название стартап-проекта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рофориентационн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сайт института информационных систем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в ГУУ</w:t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Команда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стартап-проекта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Неретина Оксана</w:t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Догель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Андрей</w:t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Лякишев Марк</w:t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4. Игнатьева Алёна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Projects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Технологическое направление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EduNet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Описание стартап-проекта</w:t>
            </w:r>
            <w:r/>
          </w:p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(технология/ услуга/продукт) 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рофориентационный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сайт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нститута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информационных систем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помо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жет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ГУУ заинтересовать абитуриента и упростить будущему студенту выбор направления подготовки.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Новизна проекта заключается в усовершенствовании рекламной деятельности университета в профориентационных целях, повышении качества презентационных материалов о вузе, в активном продвижении образовательных услуг и предоставление информации в интересном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для пользователей формате.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Кроме того, на сайте будет представлено особое тестирование для абитуриентов, основанное на методе анализа иерархий. Так абитуриент сможет сделать рациональный выбор направления подготовки, исходя из своих собственных предпочтений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Актуальность стартап-проекта (описание проблемы и решения проблемы)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Проблема заказчика: 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ситуации, возникающей при проведении рекламной кампании и попытке привлечения будущих студентов ГУУ, когда происходит нехватка абитуриентов на направления Института информационных систем ГУУ. 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Проблема потребителя: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Старшеклассники и абитуриенты сталкиваются с проблемой осознанного и грамотного выбора профессии, специальности, института, вследствие неосведомленности в состоянии, потребностях и перспективах развития постоянно меняющегося рынка труда.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проблемы: создание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профориентационн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нститута информационных систем, помогающ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ГУУ заинтересовать абитуриента и упростить будущему студенту выбор направления подготовки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Технологические риски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Ошибки при создании сайта вследствие некомпетентности разработчика;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появление сайтов-конкурентов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, что может повлечь за собой падение спроса на наш продукт;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несоблюдение календарного плана выполнения проекта</w:t>
            </w:r>
            <w:r/>
          </w:p>
          <w:p>
            <w:pPr>
              <w:ind w:firstLine="36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Потенциальные заказчики 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ГУУ и другие униве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рситеты, которые хотят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увеличить количество абитуриентов на технические направления</w:t>
            </w:r>
            <w:r/>
          </w:p>
          <w:p>
            <w:pPr>
              <w:ind w:firstLine="36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Бизнес-модель стартап-проекта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2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посредствам реализации данного проекта) </w:t>
            </w:r>
            <w:r/>
          </w:p>
        </w:tc>
        <w:tc>
          <w:tcPr>
            <w:shd w:val="clear" w:color="auto" w:fill="auto"/>
            <w:tcW w:w="633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сновной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заработок от данного проекта будет после того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как сайт начнет свою работу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. Другими словами, мы будем зарабатывать на администрировании сайта и на поддержании его работоспособности.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Одной из задач нашего проекта является продвижение образовательных услуг вуза.</w:t>
            </w:r>
            <w:r/>
          </w:p>
        </w:tc>
      </w:tr>
      <w:tr>
        <w:trPr>
          <w:trHeight w:val="553"/>
        </w:trPr>
        <w:tc>
          <w:tcPr>
            <w:gridSpan w:val="2"/>
            <w:tcW w:w="9740" w:type="dxa"/>
            <w:textDirection w:val="lrTb"/>
            <w:noWrap w:val="false"/>
          </w:tcPr>
          <w:p>
            <w:pPr>
              <w:ind w:left="360" w:firstLine="518"/>
              <w:jc w:val="center"/>
              <w:spacing w:before="278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Объем финансового обеспечения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3"/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216 300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рублей </w:t>
            </w:r>
            <w:r/>
          </w:p>
        </w:tc>
      </w:tr>
      <w:tr>
        <w:trPr>
          <w:trHeight w:val="415"/>
        </w:trPr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Предполагаемые источники финансирования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нашего проекта есть четкий заказчик Государственный Университет Управления. Данная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анизация и яв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ля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ется источником нашего финансирования.</w:t>
            </w:r>
            <w:r/>
          </w:p>
        </w:tc>
      </w:tr>
      <w:tr>
        <w:trPr>
          <w:trHeight w:val="690"/>
        </w:trPr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Оценка потенциала «рынка» и рентабельности 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4"/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 рынка - 1.200.000 потенциальных клиентов в год, однако с учетом всех ограничений (локации, затрат клиентов на услуги,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колич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учебных мест 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 около 2000 студентов являются нашими клиентами.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 учетом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затрат на создание идеи, поддержание сайта и получение будущей прибыли, данный проект имеет рентабельность в 42%.</w:t>
            </w:r>
            <w:r/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700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>
        <w:trPr/>
        <w:tc>
          <w:tcPr>
            <w:tcW w:w="974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spacing w:before="24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Календарный план стартап-проекта</w:t>
            </w:r>
            <w:r/>
          </w:p>
          <w:tbl>
            <w:tblPr>
              <w:tblStyle w:val="701"/>
              <w:tblW w:w="8170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>
              <w:trPr>
                <w:cantSplit/>
                <w:trHeight w:val="2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Название этапа календарного плана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мес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Стоимость, руб.</w:t>
                  </w:r>
                  <w:r/>
                </w:p>
              </w:tc>
            </w:tr>
            <w:tr>
              <w:trPr>
                <w:cantSplit/>
                <w:trHeight w:val="622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Подготовка проекта (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Планирование содержания сайта, сроков его реализации, стоимости проекта и определение требуемых компетенций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)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0</w:t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rPr>
                      <w:rFonts w:ascii="Calibri" w:hAnsi="Calibri" w:cs="Calibri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Создание MVP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18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6 300</w:t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Тестирование MVP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30 000</w:t>
                  </w:r>
                  <w:r/>
                </w:p>
              </w:tc>
            </w:tr>
          </w:tbl>
          <w:p>
            <w:pPr>
              <w:ind w:firstLine="360"/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ind w:firstLine="360"/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216 300</w:t>
            </w:r>
            <w:r/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702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>
        <w:trPr/>
        <w:tc>
          <w:tcPr>
            <w:tcW w:w="974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spacing w:before="24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стартап-проекта)</w:t>
            </w:r>
            <w:r/>
          </w:p>
          <w:tbl>
            <w:tblPr>
              <w:tblStyle w:val="703"/>
              <w:tblW w:w="9064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>
              <w:trPr>
                <w:cantSplit/>
                <w:trHeight w:val="2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tabs>
                      <w:tab w:val="right" w:pos="4500" w:leader="none"/>
                    </w:tabs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Участники </w:t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138" w:type="dxa"/>
                  <w:vAlign w:val="center"/>
                  <w:textDirection w:val="lrTb"/>
                  <w:noWrap w:val="false"/>
                </w:tcPr>
                <w:p>
                  <w:pPr>
                    <w:ind w:firstLine="360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cantSplit/>
                <w:trHeight w:val="2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9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Размер доли (руб.)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/>
                </w:p>
              </w:tc>
            </w:tr>
            <w:tr>
              <w:trPr>
                <w:cantSplit/>
                <w:trHeight w:val="774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textDirection w:val="lrTb"/>
                  <w:noWrap w:val="false"/>
                </w:tcPr>
                <w:p>
                  <w:pPr>
                    <w:spacing w:line="240" w:lineRule="auto"/>
                    <w:widowControl w:val="off"/>
                    <w:tabs>
                      <w:tab w:val="left" w:pos="432" w:leader="none"/>
                    </w:tabs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Неретина Оксана</w:t>
                  </w:r>
                  <w:r/>
                </w:p>
                <w:p>
                  <w:pPr>
                    <w:spacing w:line="240" w:lineRule="auto"/>
                    <w:widowControl w:val="off"/>
                    <w:tabs>
                      <w:tab w:val="left" w:pos="432" w:leader="none"/>
                    </w:tabs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2.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Догель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Андрей</w:t>
                  </w:r>
                  <w:r/>
                </w:p>
                <w:p>
                  <w:pPr>
                    <w:spacing w:line="240" w:lineRule="auto"/>
                    <w:widowControl w:val="off"/>
                    <w:tabs>
                      <w:tab w:val="left" w:pos="432" w:leader="none"/>
                    </w:tabs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3.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Лякишев Марк</w:t>
                  </w:r>
                  <w:r/>
                </w:p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4. Игнатьева Алёна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94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500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руб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br/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500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руб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br/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500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руб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br/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500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ру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б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25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br/>
                    <w:t xml:space="preserve">25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br/>
                    <w:t xml:space="preserve">25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br/>
                    <w:t xml:space="preserve">25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Размер Уставного капитала (УК)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9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14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000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руб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100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/>
                </w:p>
              </w:tc>
            </w:tr>
          </w:tbl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ind w:firstLine="360"/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704"/>
        <w:tblW w:w="96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393"/>
        <w:gridCol w:w="1892"/>
      </w:tblGrid>
      <w:tr>
        <w:trPr>
          <w:trHeight w:val="509"/>
        </w:trPr>
        <w:tc>
          <w:tcPr>
            <w:gridSpan w:val="5"/>
            <w:tcMar>
              <w:left w:w="144" w:type="dxa"/>
              <w:top w:w="72" w:type="dxa"/>
              <w:right w:w="144" w:type="dxa"/>
              <w:bottom w:w="72" w:type="dxa"/>
            </w:tcMar>
            <w:tcW w:w="968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spacing w:after="200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  <w:r/>
          </w:p>
        </w:tc>
      </w:tr>
      <w:tr>
        <w:trPr>
          <w:trHeight w:val="509"/>
        </w:trPr>
        <w:tc>
          <w:tcPr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Ф.И.О.</w:t>
            </w:r>
            <w:r/>
          </w:p>
        </w:tc>
        <w:tc>
          <w:tcPr>
            <w:tcW w:w="171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Должность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роль)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Контакты         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Выполняемые работы в Проекте</w:t>
            </w:r>
            <w:r/>
          </w:p>
        </w:tc>
        <w:tc>
          <w:tcPr>
            <w:tcW w:w="1892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Образование/опыт работы</w:t>
            </w:r>
            <w:r/>
          </w:p>
        </w:tc>
      </w:tr>
      <w:tr>
        <w:trPr>
          <w:trHeight w:val="557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Неретина Оксана Андреевна</w:t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Frontend-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разработчик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+7 953 126 53 65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393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Разработка макета;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верстка сайта,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адаптация сайта под мобильные устройства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89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Среднее общее образование</w:t>
            </w:r>
            <w:r/>
          </w:p>
        </w:tc>
      </w:tr>
      <w:tr>
        <w:trPr>
          <w:trHeight w:val="577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Догель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Андрей Андреевич </w:t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Веб-дизайнер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br/>
              <w:t xml:space="preserve">Контент-менеджер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+7 915 345 77 41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393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Разработ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макет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(структур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дизайн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сайта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; текстовое наполнение сайта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89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Среднее общее образование</w:t>
            </w:r>
            <w:r/>
          </w:p>
        </w:tc>
      </w:tr>
      <w:tr>
        <w:trPr>
          <w:trHeight w:val="555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Лякишев Марк Владимирович</w:t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Backend-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разработчик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+7 985 166 36 36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393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Разработка серверной части сайта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; создание тестирования для абитуриентов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89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Среднее общее образование</w:t>
            </w:r>
            <w:r/>
          </w:p>
        </w:tc>
      </w:tr>
      <w:tr>
        <w:trPr>
          <w:trHeight w:val="555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Игнатьева Алёна Владиславовна</w:t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Frontend-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разработчик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+7 929 505 61 74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393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Верстка сайта; тестирование сайта на работоспособность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89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Среднее общее образование</w:t>
            </w:r>
            <w:r/>
          </w:p>
        </w:tc>
      </w:tr>
    </w:tbl>
    <w:p>
      <w:r/>
      <w:r/>
    </w:p>
    <w:sectPr>
      <w:footnotePr/>
      <w:endnotePr/>
      <w:type w:val="nextPage"/>
      <w:pgSz w:w="11909" w:h="16834" w:orient="portrait"/>
      <w:pgMar w:top="568" w:right="1440" w:bottom="1276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  <w:footnote w:id="2">
    <w:p>
      <w:pPr>
        <w:spacing w:line="240" w:lineRule="auto"/>
        <w:rPr>
          <w:rFonts w:ascii="Calibri" w:hAnsi="Calibri" w:eastAsia="Calibri" w:cs="Calibri"/>
          <w:color w:val="ff0000"/>
          <w:sz w:val="20"/>
          <w:szCs w:val="20"/>
        </w:rPr>
      </w:pPr>
      <w:r>
        <w:rPr>
          <w:color w:val="000000" w:themeColor="text1"/>
          <w:vertAlign w:val="superscript"/>
        </w:rPr>
        <w:footnoteRef/>
      </w:r>
      <w:r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Бизнес-модель стартап-проекта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- это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/>
    </w:p>
  </w:footnote>
  <w:footnote w:id="3">
    <w:p>
      <w:pPr>
        <w:spacing w:line="240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color w:val="000000" w:themeColor="text1"/>
          <w:vertAlign w:val="superscript"/>
        </w:rPr>
        <w:footnoteRef/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  <w:r/>
    </w:p>
  </w:footnote>
  <w:footnote w:id="4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color w:val="000000" w:themeColor="text1"/>
          <w:vertAlign w:val="superscript"/>
        </w:rPr>
        <w:footnoteRef/>
      </w:r>
      <w:r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и.т.п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, а также расчет индекса рентабельности инвестиции (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Profitability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index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, PI)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bCs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3"/>
    <w:link w:val="68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93"/>
    <w:link w:val="68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93"/>
    <w:link w:val="68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93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93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93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6"/>
    <w:next w:val="68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6"/>
    <w:next w:val="68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6"/>
    <w:next w:val="68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93"/>
    <w:link w:val="697"/>
    <w:uiPriority w:val="10"/>
    <w:rPr>
      <w:sz w:val="48"/>
      <w:szCs w:val="48"/>
    </w:rPr>
  </w:style>
  <w:style w:type="character" w:styleId="36">
    <w:name w:val="Subtitle Char"/>
    <w:basedOn w:val="693"/>
    <w:link w:val="698"/>
    <w:uiPriority w:val="11"/>
    <w:rPr>
      <w:sz w:val="24"/>
      <w:szCs w:val="24"/>
    </w:rPr>
  </w:style>
  <w:style w:type="paragraph" w:styleId="37">
    <w:name w:val="Quote"/>
    <w:basedOn w:val="686"/>
    <w:next w:val="68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6"/>
    <w:next w:val="68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93"/>
    <w:link w:val="41"/>
    <w:uiPriority w:val="99"/>
  </w:style>
  <w:style w:type="paragraph" w:styleId="43">
    <w:name w:val="Footer"/>
    <w:basedOn w:val="68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93"/>
    <w:link w:val="43"/>
    <w:uiPriority w:val="99"/>
  </w:style>
  <w:style w:type="paragraph" w:styleId="45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9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3"/>
    <w:uiPriority w:val="99"/>
    <w:unhideWhenUsed/>
    <w:rPr>
      <w:vertAlign w:val="superscript"/>
    </w:rPr>
  </w:style>
  <w:style w:type="paragraph" w:styleId="177">
    <w:name w:val="endnote text"/>
    <w:basedOn w:val="68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3"/>
    <w:uiPriority w:val="99"/>
    <w:semiHidden/>
    <w:unhideWhenUsed/>
    <w:rPr>
      <w:vertAlign w:val="superscript"/>
    </w:rPr>
  </w:style>
  <w:style w:type="paragraph" w:styleId="180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paragraph" w:styleId="687">
    <w:name w:val="Heading 1"/>
    <w:basedOn w:val="686"/>
    <w:next w:val="686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88">
    <w:name w:val="Heading 2"/>
    <w:basedOn w:val="686"/>
    <w:next w:val="686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89">
    <w:name w:val="Heading 3"/>
    <w:basedOn w:val="686"/>
    <w:next w:val="686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90">
    <w:name w:val="Heading 4"/>
    <w:basedOn w:val="686"/>
    <w:next w:val="686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91">
    <w:name w:val="Heading 5"/>
    <w:basedOn w:val="686"/>
    <w:next w:val="686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692">
    <w:name w:val="Heading 6"/>
    <w:basedOn w:val="686"/>
    <w:next w:val="686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7">
    <w:name w:val="Title"/>
    <w:basedOn w:val="686"/>
    <w:next w:val="686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698">
    <w:name w:val="Subtitle"/>
    <w:basedOn w:val="686"/>
    <w:next w:val="686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table" w:styleId="699" w:customStyle="1">
    <w:name w:val="StGen0"/>
    <w:basedOn w:val="6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0" w:customStyle="1">
    <w:name w:val="StGen1"/>
    <w:basedOn w:val="6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1" w:customStyle="1">
    <w:name w:val="StGen2"/>
    <w:basedOn w:val="6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2" w:customStyle="1">
    <w:name w:val="StGen3"/>
    <w:basedOn w:val="6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3" w:customStyle="1">
    <w:name w:val="StGen4"/>
    <w:basedOn w:val="6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4" w:customStyle="1">
    <w:name w:val="StGen5"/>
    <w:basedOn w:val="69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Оксана и Алёна 🤝</cp:lastModifiedBy>
  <cp:revision>25</cp:revision>
  <dcterms:created xsi:type="dcterms:W3CDTF">2022-12-22T13:50:00Z</dcterms:created>
  <dcterms:modified xsi:type="dcterms:W3CDTF">2023-06-23T10:43:38Z</dcterms:modified>
</cp:coreProperties>
</file>