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left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ФОРМА ПАСПОРТА СТАРТАП-ПРОЕКТА </w:t>
      </w: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Производство биоразлагаемых пакетов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Райм Вероника Викторовна</w:t>
            </w:r>
          </w:p>
          <w:p w:rsidR="00000000" w:rsidDel="00000000" w:rsidP="00000000" w:rsidRDefault="00000000" w:rsidRPr="00000000" w14:paraId="0000000B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Москалева Анастасия Алексеевна</w:t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Маммаев Артём Камильевич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https://pt.2035.university/project/proizvodstvo-biorazlagaemyh-paketov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TechNet,  EcoNET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2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spacing w:after="24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Производство биоразлагаемых пакетов. Цель проекта: использовать технологию производства био-пакетов, которые разлагаются за счет био-добавок, и показать их важность в современном мире. Мы предлагаем покупать биоразлагаемые пакеты вместо полиэтиленовых, так как биоразлагаемая продукция существенно помогает сохранить окружающую среду: в отличие от полиэтиленовых пакетов био-пакеты разлагаются на протяжении 1-3 лет.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проекта состоит в экологичном потреблении и уменьшении вреда природе.</w:t>
            </w:r>
          </w:p>
        </w:tc>
      </w:tr>
      <w:tr>
        <w:trPr>
          <w:cantSplit w:val="0"/>
          <w:trHeight w:val="1244.882812499999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Риск устаревания технологии. Технология не дает компании никаких конкурентных преимуществ. Средний риск срыва поставок оборудования.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0"/>
                <w:szCs w:val="20"/>
                <w:highlight w:val="white"/>
                <w:rtl w:val="0"/>
              </w:rPr>
              <w:t xml:space="preserve">Риск увеличения стоимостей.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41412"/>
                <w:sz w:val="20"/>
                <w:szCs w:val="20"/>
                <w:highlight w:val="white"/>
                <w:rtl w:val="0"/>
              </w:rPr>
              <w:t xml:space="preserve">Срыв поставок сырья, стройматериалов, комплектующих; повышение цен на сырье, энергию и комплектующие, рост расходов на заработную плату.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Сегмент B2B2C, ретейл, малый и средний бизнес, компании гипермаркетов/супермаркетов.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Продажа продукции компаниям (супермаркеты и тд.); предложение договоров через переговоры и предложения; частичная реализация продукции через маркетплейсы; рекламные предложения на web-сайте, соц.сетях и маркетплейсах; наиболее эффективны продажа через переговоры и web-сайт; SEO-продвижение, веб-сайт, прямые продажи.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tabs>
                <w:tab w:val="left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Продукция содержит в себе добавки, ускоряющие разложение полимеров, что решает проблему  экологии, так как био-пакеты разлагаются всего 1-3 года вместо 100 лет.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widowControl w:val="0"/>
              <w:spacing w:before="278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60" w:line="259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3,5 млн. рублей 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Гранты, инвесторы, личные средства, кредитование.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ind w:left="642.8019999999999" w:hanging="302.101999999999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TAM (сколько потенциальных клиентов может быть у продукта в потенциале) — 10 млрд.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ind w:left="642.8019999999999" w:hanging="302.101999999999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SAM (сколько клиентов покупают у нас и конкурентов, реалистично возможный рынок) — 1 млрд.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ind w:left="642.8019999999999" w:hanging="302.101999999999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SOM (сколько клиентов готовы покупать у нас) — 300 млн.</w:t>
            </w:r>
          </w:p>
          <w:p w:rsidR="00000000" w:rsidDel="00000000" w:rsidP="00000000" w:rsidRDefault="00000000" w:rsidRPr="00000000" w14:paraId="0000002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B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C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D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Поиск финансирования,</w:t>
                  </w:r>
                </w:p>
                <w:p w:rsidR="00000000" w:rsidDel="00000000" w:rsidP="00000000" w:rsidRDefault="00000000" w:rsidRPr="00000000" w14:paraId="0000002F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регистрация юр.лица,</w:t>
                  </w:r>
                </w:p>
                <w:p w:rsidR="00000000" w:rsidDel="00000000" w:rsidP="00000000" w:rsidRDefault="00000000" w:rsidRPr="00000000" w14:paraId="00000030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Поиск\ закуп оборудования,</w:t>
                  </w:r>
                </w:p>
                <w:p w:rsidR="00000000" w:rsidDel="00000000" w:rsidP="00000000" w:rsidRDefault="00000000" w:rsidRPr="00000000" w14:paraId="00000031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Поиск\аренда помещения,</w:t>
                  </w:r>
                </w:p>
                <w:p w:rsidR="00000000" w:rsidDel="00000000" w:rsidP="00000000" w:rsidRDefault="00000000" w:rsidRPr="00000000" w14:paraId="00000032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Закуп материалов,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2.290.000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Поиск\найм\обучение сотрудников,</w:t>
                  </w:r>
                </w:p>
                <w:p w:rsidR="00000000" w:rsidDel="00000000" w:rsidP="00000000" w:rsidRDefault="00000000" w:rsidRPr="00000000" w14:paraId="00000036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Налаживание каналов продаж,</w:t>
                  </w:r>
                </w:p>
                <w:p w:rsidR="00000000" w:rsidDel="00000000" w:rsidP="00000000" w:rsidRDefault="00000000" w:rsidRPr="00000000" w14:paraId="00000037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Поиск партнеров, </w:t>
                  </w:r>
                </w:p>
                <w:p w:rsidR="00000000" w:rsidDel="00000000" w:rsidP="00000000" w:rsidRDefault="00000000" w:rsidRPr="00000000" w14:paraId="00000038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налаживание логистических цепей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1.210.000</w:t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3.500.000</w:t>
            </w:r>
          </w:p>
          <w:p w:rsidR="00000000" w:rsidDel="00000000" w:rsidP="00000000" w:rsidRDefault="00000000" w:rsidRPr="00000000" w14:paraId="0000003D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1.Райм В.В.</w:t>
                  </w:r>
                </w:p>
                <w:p w:rsidR="00000000" w:rsidDel="00000000" w:rsidP="00000000" w:rsidRDefault="00000000" w:rsidRPr="00000000" w14:paraId="00000047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2.Москалева А.А.</w:t>
                  </w:r>
                </w:p>
                <w:p w:rsidR="00000000" w:rsidDel="00000000" w:rsidP="00000000" w:rsidRDefault="00000000" w:rsidRPr="00000000" w14:paraId="00000048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3.Маммаев А.К.</w:t>
                  </w:r>
                </w:p>
                <w:p w:rsidR="00000000" w:rsidDel="00000000" w:rsidP="00000000" w:rsidRDefault="00000000" w:rsidRPr="00000000" w14:paraId="00000049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A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3200</w:t>
                  </w:r>
                </w:p>
                <w:p w:rsidR="00000000" w:rsidDel="00000000" w:rsidP="00000000" w:rsidRDefault="00000000" w:rsidRPr="00000000" w14:paraId="0000004B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3400</w:t>
                  </w:r>
                </w:p>
                <w:p w:rsidR="00000000" w:rsidDel="00000000" w:rsidP="00000000" w:rsidRDefault="00000000" w:rsidRPr="00000000" w14:paraId="0000004C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3400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D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32</w:t>
                  </w:r>
                </w:p>
                <w:p w:rsidR="00000000" w:rsidDel="00000000" w:rsidP="00000000" w:rsidRDefault="00000000" w:rsidRPr="00000000" w14:paraId="0000004E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34</w:t>
                  </w:r>
                </w:p>
                <w:p w:rsidR="00000000" w:rsidDel="00000000" w:rsidP="00000000" w:rsidRDefault="00000000" w:rsidRPr="00000000" w14:paraId="0000004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34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10.000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  <w:tblGridChange w:id="0">
          <w:tblGrid>
            <w:gridCol w:w="1973"/>
            <w:gridCol w:w="1713"/>
            <w:gridCol w:w="1713"/>
            <w:gridCol w:w="2552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spacing w:after="20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Райм Вероника Викторовна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Аналитик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20"/>
                <w:szCs w:val="20"/>
                <w:rtl w:val="0"/>
              </w:rPr>
              <w:t xml:space="preserve">+79528957167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Проведение опросов, поиск и анализ данных и информации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 проекта/0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Москалева Анастасия Алексеевна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Маркетолог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20"/>
                <w:szCs w:val="20"/>
                <w:rtl w:val="0"/>
              </w:rPr>
              <w:t xml:space="preserve">+79601057363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Поиск путей развития продаж, налаживание каналов продаж,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 проекта/0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Маммаев Артём Камильевич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Дизайнер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20"/>
                <w:szCs w:val="20"/>
                <w:rtl w:val="0"/>
              </w:rPr>
              <w:t xml:space="preserve">+79527537852</w:t>
            </w:r>
          </w:p>
          <w:p w:rsidR="00000000" w:rsidDel="00000000" w:rsidP="00000000" w:rsidRDefault="00000000" w:rsidRPr="00000000" w14:paraId="0000006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Оформление итоговой презентации, а также редактирование информации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 проекта/0</w:t>
            </w:r>
          </w:p>
        </w:tc>
      </w:tr>
    </w:tbl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pt.2035.university/project/proizvodstvo-biorazlagaemyh-paket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RNwwt8gHm1WBXwCweIOuDVS5jg==">AMUW2mWpnt7KUOu6OeWSEFKoTni39Gc1E9c1eJV4C7Rl0YSLlsvN+DyMpMxONxqJ/Pi5pWx/XPK07LoZ/Co1YvXjDyhTzuRR24En97r7T8bxnJa8STanizU=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